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66E404" w14:textId="1115B65E" w:rsidR="00383B55" w:rsidRDefault="009F1B0B" w:rsidP="002C1B32">
      <w:pPr>
        <w:jc w:val="center"/>
        <w:rPr>
          <w:rFonts w:ascii="Arabic UI Display Heavy" w:hAnsi="Arabic UI Display Heavy" w:cs="Arabic UI Display Heavy"/>
          <w:sz w:val="72"/>
          <w:szCs w:val="72"/>
          <w:rtl/>
        </w:rPr>
      </w:pPr>
      <w:r>
        <w:rPr>
          <w:rFonts w:ascii="Arabic UI Display Heavy" w:hAnsi="Arabic UI Display Heavy" w:cs="Arabic UI Display Heavy" w:hint="cs"/>
          <w:sz w:val="72"/>
          <w:szCs w:val="72"/>
          <w:rtl/>
        </w:rPr>
        <w:t>الحوسبة السحابية</w:t>
      </w:r>
    </w:p>
    <w:p w14:paraId="04461B50" w14:textId="4EFBF743" w:rsidR="008C28F6" w:rsidRDefault="00E76377" w:rsidP="002C1B32">
      <w:pPr>
        <w:jc w:val="center"/>
        <w:rPr>
          <w:b/>
          <w:bCs/>
          <w:sz w:val="32"/>
          <w:szCs w:val="32"/>
          <w:rtl/>
        </w:rPr>
      </w:pPr>
      <w:r>
        <w:rPr>
          <w:rFonts w:ascii="Arabic UI Display Heavy" w:hAnsi="Arabic UI Display Heavy" w:hint="cs"/>
          <w:b/>
          <w:bCs/>
          <w:sz w:val="32"/>
          <w:szCs w:val="32"/>
          <w:rtl/>
        </w:rPr>
        <w:t>مفاهيم ودراسات في الحوسبة السحابية</w:t>
      </w:r>
    </w:p>
    <w:p w14:paraId="3349A181" w14:textId="2AC59560" w:rsidR="00052803" w:rsidRDefault="00052803" w:rsidP="002C1B32">
      <w:pPr>
        <w:jc w:val="center"/>
        <w:rPr>
          <w:b/>
          <w:bCs/>
          <w:sz w:val="32"/>
          <w:szCs w:val="32"/>
          <w:rtl/>
        </w:rPr>
      </w:pPr>
    </w:p>
    <w:p w14:paraId="79005099" w14:textId="79FA258A" w:rsidR="00052803" w:rsidRPr="00052803" w:rsidRDefault="00052803" w:rsidP="002C1B32">
      <w:pPr>
        <w:jc w:val="center"/>
        <w:rPr>
          <w:b/>
          <w:bCs/>
          <w:sz w:val="24"/>
          <w:szCs w:val="24"/>
          <w:rtl/>
        </w:rPr>
      </w:pPr>
      <w:r>
        <w:rPr>
          <w:rFonts w:hint="cs"/>
          <w:b/>
          <w:bCs/>
          <w:sz w:val="32"/>
          <w:szCs w:val="32"/>
          <w:rtl/>
        </w:rPr>
        <w:t>مبادرة تقنيات التعليم للجميع</w:t>
      </w:r>
      <w:r>
        <w:rPr>
          <w:b/>
          <w:bCs/>
          <w:sz w:val="32"/>
          <w:szCs w:val="32"/>
          <w:rtl/>
        </w:rPr>
        <w:br/>
      </w:r>
      <w:r w:rsidRPr="00052803">
        <w:rPr>
          <w:rFonts w:hint="cs"/>
          <w:b/>
          <w:bCs/>
          <w:sz w:val="24"/>
          <w:szCs w:val="24"/>
          <w:rtl/>
        </w:rPr>
        <w:t>إعداد: نورة مبروك الأحمدي</w:t>
      </w:r>
    </w:p>
    <w:p w14:paraId="79CABFDD" w14:textId="375E9656" w:rsidR="00E27EC9" w:rsidRDefault="00E27EC9">
      <w:pPr>
        <w:bidi w:val="0"/>
        <w:rPr>
          <w:color w:val="4472C4" w:themeColor="accent1"/>
          <w:sz w:val="32"/>
          <w:szCs w:val="32"/>
          <w:rtl/>
        </w:rPr>
      </w:pPr>
      <w:r>
        <w:rPr>
          <w:color w:val="4472C4" w:themeColor="accent1"/>
          <w:sz w:val="32"/>
          <w:szCs w:val="32"/>
          <w:rtl/>
        </w:rPr>
        <w:br w:type="page"/>
      </w:r>
    </w:p>
    <w:p w14:paraId="701E43DB" w14:textId="74EF29A8" w:rsidR="004F1D4A" w:rsidRDefault="004F1D4A" w:rsidP="004F1D4A">
      <w:pPr>
        <w:jc w:val="center"/>
        <w:rPr>
          <w:rFonts w:asciiTheme="majorBidi" w:hAnsiTheme="majorBidi" w:cs="Arial"/>
          <w:b/>
          <w:bCs/>
          <w:sz w:val="32"/>
          <w:szCs w:val="32"/>
          <w:rtl/>
        </w:rPr>
      </w:pPr>
      <w:r>
        <w:rPr>
          <w:rFonts w:asciiTheme="majorBidi" w:hAnsiTheme="majorBidi" w:hint="cs"/>
          <w:b/>
          <w:bCs/>
          <w:sz w:val="44"/>
          <w:szCs w:val="44"/>
          <w:rtl/>
        </w:rPr>
        <w:lastRenderedPageBreak/>
        <w:t>الحوسبة السحابية</w:t>
      </w:r>
      <w:r w:rsidRPr="004F1D4A">
        <w:rPr>
          <w:rFonts w:asciiTheme="majorBidi" w:hAnsiTheme="majorBidi" w:hint="cs"/>
          <w:b/>
          <w:bCs/>
          <w:sz w:val="44"/>
          <w:szCs w:val="44"/>
          <w:rtl/>
        </w:rPr>
        <w:t xml:space="preserve"> - مفاهيم ودراسات</w:t>
      </w:r>
    </w:p>
    <w:p w14:paraId="0FDC327B" w14:textId="1711A8A2" w:rsidR="00980F07" w:rsidRPr="004A0B2A" w:rsidRDefault="004F1D4A" w:rsidP="00AB15F8">
      <w:pPr>
        <w:jc w:val="both"/>
        <w:rPr>
          <w:rFonts w:asciiTheme="majorBidi" w:hAnsiTheme="majorBidi" w:cstheme="majorBidi"/>
          <w:b/>
          <w:bCs/>
          <w:sz w:val="32"/>
          <w:szCs w:val="32"/>
          <w:rtl/>
        </w:rPr>
      </w:pPr>
      <w:r w:rsidRPr="00105E3C">
        <w:rPr>
          <w:rFonts w:asciiTheme="majorBidi" w:hAnsiTheme="majorBidi" w:cstheme="majorBidi" w:hint="cs"/>
          <w:b/>
          <w:bCs/>
          <w:sz w:val="32"/>
          <w:szCs w:val="32"/>
          <w:rtl/>
        </w:rPr>
        <w:t>مفهوم الحوسبة السحابية</w:t>
      </w:r>
      <w:r w:rsidR="00AB15F8">
        <w:rPr>
          <w:rFonts w:asciiTheme="majorBidi" w:hAnsiTheme="majorBidi" w:cstheme="majorBidi" w:hint="cs"/>
          <w:b/>
          <w:bCs/>
          <w:sz w:val="32"/>
          <w:szCs w:val="32"/>
          <w:rtl/>
        </w:rPr>
        <w:t xml:space="preserve"> </w:t>
      </w:r>
      <w:r w:rsidR="00AB15F8" w:rsidRPr="00310F92">
        <w:rPr>
          <w:rFonts w:cstheme="majorBidi"/>
          <w:sz w:val="28"/>
          <w:szCs w:val="28"/>
        </w:rPr>
        <w:t>(Mell &amp;</w:t>
      </w:r>
      <w:r w:rsidR="00AB15F8" w:rsidRPr="00310F92">
        <w:t xml:space="preserve"> </w:t>
      </w:r>
      <w:r w:rsidR="00AB15F8" w:rsidRPr="00310F92">
        <w:rPr>
          <w:rFonts w:cstheme="majorBidi"/>
          <w:sz w:val="28"/>
          <w:szCs w:val="28"/>
        </w:rPr>
        <w:t>Grance, 2011)</w:t>
      </w:r>
    </w:p>
    <w:p w14:paraId="5D482FCA" w14:textId="768AE56A" w:rsidR="004F1D4A" w:rsidRPr="00FC18AE" w:rsidRDefault="00475C06" w:rsidP="004F1D4A">
      <w:pPr>
        <w:jc w:val="both"/>
        <w:rPr>
          <w:rFonts w:ascii="Cambria" w:hAnsi="Cambria"/>
          <w:b/>
          <w:bCs/>
          <w:sz w:val="36"/>
          <w:szCs w:val="36"/>
          <w:rtl/>
        </w:rPr>
      </w:pPr>
      <w:r w:rsidRPr="00FC18AE">
        <w:rPr>
          <w:rFonts w:ascii="Cambria" w:hAnsi="Cambria" w:hint="cs"/>
          <w:b/>
          <w:bCs/>
          <w:sz w:val="36"/>
          <w:szCs w:val="36"/>
          <w:rtl/>
        </w:rPr>
        <w:t>تعريف الحوسبة السحابية:</w:t>
      </w:r>
    </w:p>
    <w:p w14:paraId="4990095F" w14:textId="465F4018" w:rsidR="00475C06" w:rsidRDefault="00792AF3" w:rsidP="004F1D4A">
      <w:pPr>
        <w:jc w:val="both"/>
        <w:rPr>
          <w:rFonts w:ascii="Cambria" w:hAnsi="Cambria"/>
          <w:sz w:val="32"/>
          <w:szCs w:val="32"/>
          <w:rtl/>
        </w:rPr>
      </w:pPr>
      <w:r>
        <w:rPr>
          <w:rFonts w:ascii="Cambria" w:hAnsi="Cambria" w:hint="cs"/>
          <w:sz w:val="32"/>
          <w:szCs w:val="32"/>
          <w:rtl/>
        </w:rPr>
        <w:t>هي نموذج لتمكين الوصول المريح عبر الشبكة من أي مكان وعند الحاجة إلى مجموعة موارد حاسوبية م</w:t>
      </w:r>
      <w:r w:rsidR="00B91801">
        <w:rPr>
          <w:rFonts w:ascii="Cambria" w:hAnsi="Cambria" w:hint="cs"/>
          <w:sz w:val="32"/>
          <w:szCs w:val="32"/>
          <w:rtl/>
        </w:rPr>
        <w:t>شترَك</w:t>
      </w:r>
      <w:r>
        <w:rPr>
          <w:rFonts w:ascii="Cambria" w:hAnsi="Cambria" w:hint="cs"/>
          <w:sz w:val="32"/>
          <w:szCs w:val="32"/>
          <w:rtl/>
        </w:rPr>
        <w:t>ة قابلة للتهيئة، على سبيل المثال: الشبكات، الخوادم، التخزين،</w:t>
      </w:r>
      <w:r w:rsidR="00B91801">
        <w:rPr>
          <w:rFonts w:ascii="Cambria" w:hAnsi="Cambria" w:hint="cs"/>
          <w:sz w:val="32"/>
          <w:szCs w:val="32"/>
          <w:rtl/>
        </w:rPr>
        <w:t xml:space="preserve"> </w:t>
      </w:r>
      <w:r w:rsidR="00093CDD">
        <w:rPr>
          <w:rFonts w:ascii="Cambria" w:hAnsi="Cambria" w:hint="cs"/>
          <w:sz w:val="32"/>
          <w:szCs w:val="32"/>
          <w:rtl/>
        </w:rPr>
        <w:t>التطبيقات والخدمات، التي يمكن إتاحتها للعملاء وتمكين الاستفادة اللحظية منها بأقل تفاعل من مقدم الخدمة أو جهد إداري.</w:t>
      </w:r>
    </w:p>
    <w:p w14:paraId="69B7AC70" w14:textId="39F29A44" w:rsidR="002F5E90" w:rsidRPr="00FC18AE" w:rsidRDefault="002F5E90" w:rsidP="004F1D4A">
      <w:pPr>
        <w:jc w:val="both"/>
        <w:rPr>
          <w:rFonts w:ascii="Cambria" w:hAnsi="Cambria"/>
          <w:b/>
          <w:bCs/>
          <w:sz w:val="36"/>
          <w:szCs w:val="36"/>
          <w:rtl/>
        </w:rPr>
      </w:pPr>
      <w:r w:rsidRPr="00FC18AE">
        <w:rPr>
          <w:rFonts w:ascii="Cambria" w:hAnsi="Cambria" w:hint="cs"/>
          <w:b/>
          <w:bCs/>
          <w:sz w:val="36"/>
          <w:szCs w:val="36"/>
          <w:rtl/>
        </w:rPr>
        <w:t>خصائص الحوسبة السحابية:</w:t>
      </w:r>
    </w:p>
    <w:p w14:paraId="2B14FEA4" w14:textId="521BBDDF" w:rsidR="002F5E90" w:rsidRDefault="009A612C" w:rsidP="009A612C">
      <w:pPr>
        <w:pStyle w:val="a8"/>
        <w:numPr>
          <w:ilvl w:val="0"/>
          <w:numId w:val="11"/>
        </w:numPr>
        <w:jc w:val="both"/>
        <w:rPr>
          <w:rFonts w:ascii="Cambria" w:hAnsi="Cambria"/>
          <w:sz w:val="32"/>
          <w:szCs w:val="32"/>
        </w:rPr>
      </w:pPr>
      <w:r>
        <w:rPr>
          <w:rFonts w:ascii="Cambria" w:hAnsi="Cambria" w:hint="cs"/>
          <w:sz w:val="32"/>
          <w:szCs w:val="32"/>
          <w:rtl/>
        </w:rPr>
        <w:t>خدمة ذاتية بناءً على الطلب: يمكن للمستهلك الوصول إلى إمكانات الحوسبة حسب الحاجة وتلقائياً دون أن يكون هناك تفاعل بشري مع كل مقدم خدمة.</w:t>
      </w:r>
    </w:p>
    <w:p w14:paraId="7F773DE4" w14:textId="50ED54A5" w:rsidR="001845A3" w:rsidRDefault="00E66DCE" w:rsidP="009A612C">
      <w:pPr>
        <w:pStyle w:val="a8"/>
        <w:numPr>
          <w:ilvl w:val="0"/>
          <w:numId w:val="11"/>
        </w:numPr>
        <w:jc w:val="both"/>
        <w:rPr>
          <w:rFonts w:ascii="Cambria" w:hAnsi="Cambria"/>
          <w:sz w:val="32"/>
          <w:szCs w:val="32"/>
        </w:rPr>
      </w:pPr>
      <w:r>
        <w:rPr>
          <w:rFonts w:ascii="Cambria" w:hAnsi="Cambria" w:hint="cs"/>
          <w:sz w:val="32"/>
          <w:szCs w:val="32"/>
          <w:rtl/>
        </w:rPr>
        <w:t>ال</w:t>
      </w:r>
      <w:r w:rsidR="001845A3">
        <w:rPr>
          <w:rFonts w:ascii="Cambria" w:hAnsi="Cambria" w:hint="cs"/>
          <w:sz w:val="32"/>
          <w:szCs w:val="32"/>
          <w:rtl/>
        </w:rPr>
        <w:t xml:space="preserve">وصول </w:t>
      </w:r>
      <w:r>
        <w:rPr>
          <w:rFonts w:ascii="Cambria" w:hAnsi="Cambria" w:hint="cs"/>
          <w:sz w:val="32"/>
          <w:szCs w:val="32"/>
          <w:rtl/>
        </w:rPr>
        <w:t>ال</w:t>
      </w:r>
      <w:r w:rsidR="001845A3">
        <w:rPr>
          <w:rFonts w:ascii="Cambria" w:hAnsi="Cambria" w:hint="cs"/>
          <w:sz w:val="32"/>
          <w:szCs w:val="32"/>
          <w:rtl/>
        </w:rPr>
        <w:t>واسع إلى الشبكة: تتاح الموارد الحاسوبية عبر الشبكة ويمكن الوصول إليها من خلال منصات مختلفة: الهواتف المتنقلة، والأجهزة اللوحية، والحاسبات المتنقلة، ومحطات العمل.</w:t>
      </w:r>
    </w:p>
    <w:p w14:paraId="668B4995" w14:textId="77777777" w:rsidR="00357A4C" w:rsidRDefault="00F14EA9" w:rsidP="009A612C">
      <w:pPr>
        <w:pStyle w:val="a8"/>
        <w:numPr>
          <w:ilvl w:val="0"/>
          <w:numId w:val="11"/>
        </w:numPr>
        <w:jc w:val="both"/>
        <w:rPr>
          <w:rFonts w:ascii="Cambria" w:hAnsi="Cambria"/>
          <w:sz w:val="32"/>
          <w:szCs w:val="32"/>
        </w:rPr>
      </w:pPr>
      <w:r>
        <w:rPr>
          <w:rFonts w:ascii="Cambria" w:hAnsi="Cambria" w:hint="cs"/>
          <w:sz w:val="32"/>
          <w:szCs w:val="32"/>
          <w:rtl/>
        </w:rPr>
        <w:t xml:space="preserve">تجميع الموارد: يتم تجميع </w:t>
      </w:r>
      <w:r w:rsidR="002478D2">
        <w:rPr>
          <w:rFonts w:ascii="Cambria" w:hAnsi="Cambria" w:hint="cs"/>
          <w:sz w:val="32"/>
          <w:szCs w:val="32"/>
          <w:rtl/>
        </w:rPr>
        <w:t xml:space="preserve">موارد الحوسبة الخاصة بالمزود لخدمة العديد من المستهلكين باستخدام نموذج متعدد المستأجرين، مع تخصيص موارد </w:t>
      </w:r>
      <w:r w:rsidR="002478D2">
        <w:rPr>
          <w:rFonts w:ascii="Cambria" w:hAnsi="Cambria" w:hint="cs"/>
          <w:sz w:val="32"/>
          <w:szCs w:val="32"/>
          <w:rtl/>
        </w:rPr>
        <w:lastRenderedPageBreak/>
        <w:t xml:space="preserve">مادية وافتراضية مختلفة وإعادة تخصيصها </w:t>
      </w:r>
      <w:r w:rsidR="00357A4C">
        <w:rPr>
          <w:rFonts w:ascii="Cambria" w:hAnsi="Cambria" w:hint="cs"/>
          <w:sz w:val="32"/>
          <w:szCs w:val="32"/>
          <w:rtl/>
        </w:rPr>
        <w:t>بشكل ديناميكي وفقاً لطلب المستهلك.</w:t>
      </w:r>
    </w:p>
    <w:p w14:paraId="0D4FFFFD" w14:textId="2B9A4333" w:rsidR="001845A3" w:rsidRDefault="002478D2" w:rsidP="009A612C">
      <w:pPr>
        <w:pStyle w:val="a8"/>
        <w:numPr>
          <w:ilvl w:val="0"/>
          <w:numId w:val="11"/>
        </w:numPr>
        <w:jc w:val="both"/>
        <w:rPr>
          <w:rFonts w:ascii="Cambria" w:hAnsi="Cambria"/>
          <w:sz w:val="32"/>
          <w:szCs w:val="32"/>
        </w:rPr>
      </w:pPr>
      <w:r>
        <w:rPr>
          <w:rFonts w:ascii="Cambria" w:hAnsi="Cambria" w:hint="cs"/>
          <w:sz w:val="32"/>
          <w:szCs w:val="32"/>
          <w:rtl/>
        </w:rPr>
        <w:t xml:space="preserve"> </w:t>
      </w:r>
      <w:r w:rsidR="001845A3">
        <w:rPr>
          <w:rFonts w:ascii="Cambria" w:hAnsi="Cambria" w:hint="cs"/>
          <w:sz w:val="32"/>
          <w:szCs w:val="32"/>
          <w:rtl/>
        </w:rPr>
        <w:t xml:space="preserve"> </w:t>
      </w:r>
      <w:r w:rsidR="00E66DCE">
        <w:rPr>
          <w:rFonts w:ascii="Cambria" w:hAnsi="Cambria" w:hint="cs"/>
          <w:sz w:val="32"/>
          <w:szCs w:val="32"/>
          <w:rtl/>
        </w:rPr>
        <w:t xml:space="preserve">المرونة المتسارعة: </w:t>
      </w:r>
      <w:r w:rsidR="003E6D26">
        <w:rPr>
          <w:rFonts w:ascii="Cambria" w:hAnsi="Cambria" w:hint="cs"/>
          <w:sz w:val="32"/>
          <w:szCs w:val="32"/>
          <w:rtl/>
        </w:rPr>
        <w:t>تتاح وتقدم الموارد الحاسوبية بشكل مرن وتلقائي وسريع لتتناسب مع طلب المستهلك، مع إمكانية تخصيصها بأي كمية في أي وقت.</w:t>
      </w:r>
    </w:p>
    <w:p w14:paraId="5810C21C" w14:textId="6F88616B" w:rsidR="002004E6" w:rsidRDefault="00B76243" w:rsidP="009A612C">
      <w:pPr>
        <w:pStyle w:val="a8"/>
        <w:numPr>
          <w:ilvl w:val="0"/>
          <w:numId w:val="11"/>
        </w:numPr>
        <w:jc w:val="both"/>
        <w:rPr>
          <w:rFonts w:ascii="Cambria" w:hAnsi="Cambria"/>
          <w:sz w:val="32"/>
          <w:szCs w:val="32"/>
        </w:rPr>
      </w:pPr>
      <w:r>
        <w:rPr>
          <w:rFonts w:ascii="Cambria" w:hAnsi="Cambria" w:hint="cs"/>
          <w:sz w:val="32"/>
          <w:szCs w:val="32"/>
          <w:rtl/>
        </w:rPr>
        <w:t xml:space="preserve">الخدمة المُقَاسة: </w:t>
      </w:r>
      <w:r w:rsidR="00BC6A98">
        <w:rPr>
          <w:rFonts w:ascii="Cambria" w:hAnsi="Cambria" w:hint="cs"/>
          <w:sz w:val="32"/>
          <w:szCs w:val="32"/>
          <w:rtl/>
        </w:rPr>
        <w:t>تتحكم أنظمة السحابة بالموارد وتحسنها تلقائياً من خلال الاستفادة من القدرة على القياس بمستوى ملائم لنوع الخدمة المقدمة. فيمكن مراقبة استخدام الموارد الحاسوبية والتحكم به وتقديم تقارير حوله، مما ي</w:t>
      </w:r>
      <w:r w:rsidR="009A51C7">
        <w:rPr>
          <w:rFonts w:ascii="Cambria" w:hAnsi="Cambria" w:hint="cs"/>
          <w:sz w:val="32"/>
          <w:szCs w:val="32"/>
          <w:rtl/>
        </w:rPr>
        <w:t>وفر الشفافية لكل من مزود الخدمة والمستهلك.</w:t>
      </w:r>
    </w:p>
    <w:p w14:paraId="5E0E4672" w14:textId="2E77971E" w:rsidR="00601FE6" w:rsidRPr="00FC18AE" w:rsidRDefault="00601FE6" w:rsidP="00601FE6">
      <w:pPr>
        <w:jc w:val="both"/>
        <w:rPr>
          <w:rFonts w:ascii="Cambria" w:hAnsi="Cambria"/>
          <w:b/>
          <w:bCs/>
          <w:sz w:val="36"/>
          <w:szCs w:val="36"/>
          <w:rtl/>
        </w:rPr>
      </w:pPr>
      <w:r w:rsidRPr="00FC18AE">
        <w:rPr>
          <w:rFonts w:ascii="Cambria" w:hAnsi="Cambria" w:hint="cs"/>
          <w:b/>
          <w:bCs/>
          <w:sz w:val="36"/>
          <w:szCs w:val="36"/>
          <w:rtl/>
        </w:rPr>
        <w:t>نماذج خدمات الحوسبة السحابية:</w:t>
      </w:r>
    </w:p>
    <w:p w14:paraId="3CED21C1" w14:textId="38A6774D" w:rsidR="00601FE6" w:rsidRPr="00A25AB2" w:rsidRDefault="003F065E" w:rsidP="003F065E">
      <w:pPr>
        <w:pStyle w:val="a8"/>
        <w:numPr>
          <w:ilvl w:val="0"/>
          <w:numId w:val="12"/>
        </w:numPr>
        <w:jc w:val="both"/>
        <w:rPr>
          <w:rFonts w:ascii="Cambria" w:hAnsi="Cambria"/>
          <w:sz w:val="32"/>
          <w:szCs w:val="32"/>
          <w:u w:val="single"/>
        </w:rPr>
      </w:pPr>
      <w:r w:rsidRPr="00A25AB2">
        <w:rPr>
          <w:rFonts w:ascii="Cambria" w:hAnsi="Cambria" w:hint="cs"/>
          <w:sz w:val="32"/>
          <w:szCs w:val="32"/>
          <w:u w:val="single"/>
          <w:rtl/>
        </w:rPr>
        <w:t xml:space="preserve">البرمجيات كخدمة </w:t>
      </w:r>
      <w:r w:rsidRPr="0039290C">
        <w:rPr>
          <w:rFonts w:asciiTheme="majorHAnsi" w:hAnsiTheme="majorHAnsi" w:hint="cs"/>
          <w:sz w:val="28"/>
          <w:szCs w:val="28"/>
          <w:u w:val="single"/>
          <w:rtl/>
        </w:rPr>
        <w:t>(</w:t>
      </w:r>
      <w:r w:rsidRPr="0039290C">
        <w:rPr>
          <w:rFonts w:asciiTheme="majorHAnsi" w:hAnsiTheme="majorHAnsi"/>
          <w:sz w:val="28"/>
          <w:szCs w:val="28"/>
          <w:u w:val="single"/>
        </w:rPr>
        <w:t>Software as a Service -SaaS</w:t>
      </w:r>
      <w:r w:rsidRPr="0039290C">
        <w:rPr>
          <w:rFonts w:asciiTheme="majorHAnsi" w:hAnsiTheme="majorHAnsi" w:hint="cs"/>
          <w:sz w:val="28"/>
          <w:szCs w:val="28"/>
          <w:u w:val="single"/>
          <w:rtl/>
        </w:rPr>
        <w:t>)</w:t>
      </w:r>
      <w:r w:rsidR="009A2BF8" w:rsidRPr="00A25AB2">
        <w:rPr>
          <w:rFonts w:ascii="Cambria" w:hAnsi="Cambria" w:hint="cs"/>
          <w:sz w:val="32"/>
          <w:szCs w:val="32"/>
          <w:rtl/>
        </w:rPr>
        <w:t>:</w:t>
      </w:r>
      <w:r w:rsidR="004E3891" w:rsidRPr="00A25AB2">
        <w:rPr>
          <w:rFonts w:ascii="Cambria" w:hAnsi="Cambria" w:hint="cs"/>
          <w:sz w:val="32"/>
          <w:szCs w:val="32"/>
          <w:rtl/>
        </w:rPr>
        <w:t xml:space="preserve"> </w:t>
      </w:r>
    </w:p>
    <w:p w14:paraId="653B8556" w14:textId="07827733" w:rsidR="004E3891" w:rsidRDefault="00B06EDA" w:rsidP="004E3891">
      <w:pPr>
        <w:jc w:val="both"/>
        <w:rPr>
          <w:rFonts w:ascii="Cambria" w:hAnsi="Cambria"/>
          <w:sz w:val="32"/>
          <w:szCs w:val="32"/>
          <w:rtl/>
        </w:rPr>
      </w:pPr>
      <w:r>
        <w:rPr>
          <w:rFonts w:ascii="Cambria" w:hAnsi="Cambria" w:hint="cs"/>
          <w:sz w:val="32"/>
          <w:szCs w:val="32"/>
          <w:rtl/>
        </w:rPr>
        <w:t xml:space="preserve">ما يقدم إلى المستهلك في هذا النموذج هو تطبيقات مزود الخدمة التي تعمل على بنية تحتية سحابية. يمكن الوصول إلى التطبيقات من أجهزة مختلفة، ولا يدير المستخدم البنية التحتية المتضمنة أو يتحكم </w:t>
      </w:r>
      <w:r w:rsidR="00627BB1">
        <w:rPr>
          <w:rFonts w:ascii="Cambria" w:hAnsi="Cambria" w:hint="cs"/>
          <w:sz w:val="32"/>
          <w:szCs w:val="32"/>
          <w:rtl/>
        </w:rPr>
        <w:t>بها والتي تشمل الشبكة والخوادم وأنظمة التشغيل والتخزين وإمكانيات التطبيقات، وقد يتاح له تحكم محدود بإعدادات تكوين التطبيق الخاصة بالمستخدم.</w:t>
      </w:r>
    </w:p>
    <w:p w14:paraId="3323A3DD" w14:textId="77777777" w:rsidR="0051041A" w:rsidRPr="004E3891" w:rsidRDefault="0051041A" w:rsidP="004E3891">
      <w:pPr>
        <w:jc w:val="both"/>
        <w:rPr>
          <w:rFonts w:ascii="Cambria" w:hAnsi="Cambria"/>
          <w:sz w:val="32"/>
          <w:szCs w:val="32"/>
          <w:rtl/>
        </w:rPr>
      </w:pPr>
    </w:p>
    <w:p w14:paraId="1504BAB1" w14:textId="40E95C95" w:rsidR="004E3891" w:rsidRPr="00A25AB2" w:rsidRDefault="004E3891" w:rsidP="004E3891">
      <w:pPr>
        <w:pStyle w:val="a8"/>
        <w:numPr>
          <w:ilvl w:val="0"/>
          <w:numId w:val="12"/>
        </w:numPr>
        <w:jc w:val="both"/>
        <w:rPr>
          <w:rFonts w:ascii="Cambria" w:hAnsi="Cambria"/>
          <w:sz w:val="32"/>
          <w:szCs w:val="32"/>
          <w:u w:val="single"/>
        </w:rPr>
      </w:pPr>
      <w:r w:rsidRPr="00A25AB2">
        <w:rPr>
          <w:rFonts w:ascii="Cambria" w:hAnsi="Cambria" w:hint="cs"/>
          <w:sz w:val="32"/>
          <w:szCs w:val="32"/>
          <w:u w:val="single"/>
          <w:rtl/>
        </w:rPr>
        <w:lastRenderedPageBreak/>
        <w:t>ال</w:t>
      </w:r>
      <w:r w:rsidR="003074E9" w:rsidRPr="00A25AB2">
        <w:rPr>
          <w:rFonts w:ascii="Cambria" w:hAnsi="Cambria" w:hint="cs"/>
          <w:sz w:val="32"/>
          <w:szCs w:val="32"/>
          <w:u w:val="single"/>
          <w:rtl/>
        </w:rPr>
        <w:t>منصة كخدمة</w:t>
      </w:r>
      <w:r w:rsidR="006E462F" w:rsidRPr="00A25AB2">
        <w:rPr>
          <w:rFonts w:ascii="Cambria" w:hAnsi="Cambria" w:hint="cs"/>
          <w:sz w:val="32"/>
          <w:szCs w:val="32"/>
          <w:u w:val="single"/>
          <w:rtl/>
        </w:rPr>
        <w:t xml:space="preserve"> </w:t>
      </w:r>
      <w:r w:rsidR="006E462F" w:rsidRPr="0039290C">
        <w:rPr>
          <w:rFonts w:asciiTheme="majorHAnsi" w:hAnsiTheme="majorHAnsi"/>
          <w:sz w:val="28"/>
          <w:szCs w:val="28"/>
          <w:u w:val="single"/>
          <w:rtl/>
        </w:rPr>
        <w:t>(</w:t>
      </w:r>
      <w:r w:rsidR="006E462F" w:rsidRPr="0039290C">
        <w:rPr>
          <w:rFonts w:asciiTheme="majorHAnsi" w:hAnsiTheme="majorHAnsi"/>
          <w:sz w:val="28"/>
          <w:szCs w:val="28"/>
          <w:u w:val="single"/>
        </w:rPr>
        <w:t>Platform as a Service - PaaS</w:t>
      </w:r>
      <w:r w:rsidR="006E462F" w:rsidRPr="0039290C">
        <w:rPr>
          <w:rFonts w:asciiTheme="majorHAnsi" w:hAnsiTheme="majorHAnsi"/>
          <w:sz w:val="28"/>
          <w:szCs w:val="28"/>
          <w:u w:val="single"/>
          <w:rtl/>
        </w:rPr>
        <w:t>)</w:t>
      </w:r>
      <w:r w:rsidR="003074E9" w:rsidRPr="00A25AB2">
        <w:rPr>
          <w:rFonts w:ascii="Cambria" w:hAnsi="Cambria" w:hint="cs"/>
          <w:sz w:val="32"/>
          <w:szCs w:val="32"/>
          <w:rtl/>
        </w:rPr>
        <w:t>:</w:t>
      </w:r>
    </w:p>
    <w:p w14:paraId="43383C1E" w14:textId="10EC7CD2" w:rsidR="004E3891" w:rsidRDefault="006B244C" w:rsidP="0083494A">
      <w:pPr>
        <w:jc w:val="both"/>
        <w:rPr>
          <w:rFonts w:ascii="Cambria" w:hAnsi="Cambria"/>
          <w:sz w:val="32"/>
          <w:szCs w:val="32"/>
        </w:rPr>
      </w:pPr>
      <w:r>
        <w:rPr>
          <w:rFonts w:ascii="Cambria" w:hAnsi="Cambria" w:hint="cs"/>
          <w:sz w:val="32"/>
          <w:szCs w:val="32"/>
          <w:rtl/>
        </w:rPr>
        <w:t xml:space="preserve">يتاح للمستخدم </w:t>
      </w:r>
      <w:r w:rsidR="0083494A">
        <w:rPr>
          <w:rFonts w:ascii="Cambria" w:hAnsi="Cambria" w:hint="cs"/>
          <w:sz w:val="32"/>
          <w:szCs w:val="32"/>
          <w:rtl/>
        </w:rPr>
        <w:t>أن ي</w:t>
      </w:r>
      <w:r>
        <w:rPr>
          <w:rFonts w:ascii="Cambria" w:hAnsi="Cambria" w:hint="cs"/>
          <w:sz w:val="32"/>
          <w:szCs w:val="32"/>
          <w:rtl/>
        </w:rPr>
        <w:t>نشر</w:t>
      </w:r>
      <w:r w:rsidR="0083494A">
        <w:rPr>
          <w:rFonts w:ascii="Cambria" w:hAnsi="Cambria" w:hint="cs"/>
          <w:sz w:val="32"/>
          <w:szCs w:val="32"/>
          <w:rtl/>
        </w:rPr>
        <w:t xml:space="preserve"> </w:t>
      </w:r>
      <w:r w:rsidR="0083494A" w:rsidRPr="0083494A">
        <w:rPr>
          <w:rFonts w:ascii="Cambria" w:hAnsi="Cambria" w:hint="cs"/>
          <w:sz w:val="32"/>
          <w:szCs w:val="32"/>
          <w:rtl/>
        </w:rPr>
        <w:t>على بنية تحتية سحابية</w:t>
      </w:r>
      <w:r>
        <w:rPr>
          <w:rFonts w:ascii="Cambria" w:hAnsi="Cambria" w:hint="cs"/>
          <w:sz w:val="32"/>
          <w:szCs w:val="32"/>
          <w:rtl/>
        </w:rPr>
        <w:t xml:space="preserve"> التطبيقات التي </w:t>
      </w:r>
      <w:r w:rsidR="0083494A">
        <w:rPr>
          <w:rFonts w:ascii="Cambria" w:hAnsi="Cambria" w:hint="cs"/>
          <w:sz w:val="32"/>
          <w:szCs w:val="32"/>
          <w:rtl/>
        </w:rPr>
        <w:t xml:space="preserve">حصل عليها أو </w:t>
      </w:r>
      <w:r>
        <w:rPr>
          <w:rFonts w:ascii="Cambria" w:hAnsi="Cambria" w:hint="cs"/>
          <w:sz w:val="32"/>
          <w:szCs w:val="32"/>
          <w:rtl/>
        </w:rPr>
        <w:t>أنشأها</w:t>
      </w:r>
      <w:r w:rsidR="0083494A">
        <w:rPr>
          <w:rFonts w:ascii="Cambria" w:hAnsi="Cambria" w:hint="cs"/>
          <w:sz w:val="32"/>
          <w:szCs w:val="32"/>
          <w:rtl/>
        </w:rPr>
        <w:t xml:space="preserve"> باستخدام لغات البرمجة والمكتبات والخدمات والأدوات التي يدعمها مزود الخدمة. لا يدير المستهلك أو يتحكم في البنية التحتية السحابية بما في ذلك الشبكة والخوادم وأنظمة التشغيل والتخزين. لكنه يتحكم في التطبيقات التي نُشِرت وربما إعدادات تكوين بيئة استضافة التطبيقات.</w:t>
      </w:r>
    </w:p>
    <w:p w14:paraId="10271955" w14:textId="02FB6CB0" w:rsidR="00BA540F" w:rsidRPr="00A25AB2" w:rsidRDefault="004E3891" w:rsidP="00BA540F">
      <w:pPr>
        <w:pStyle w:val="a8"/>
        <w:numPr>
          <w:ilvl w:val="0"/>
          <w:numId w:val="12"/>
        </w:numPr>
        <w:jc w:val="both"/>
        <w:rPr>
          <w:rFonts w:ascii="Cambria" w:hAnsi="Cambria"/>
          <w:sz w:val="32"/>
          <w:szCs w:val="32"/>
          <w:u w:val="single"/>
        </w:rPr>
      </w:pPr>
      <w:r w:rsidRPr="00A25AB2">
        <w:rPr>
          <w:rFonts w:ascii="Cambria" w:hAnsi="Cambria" w:hint="cs"/>
          <w:sz w:val="32"/>
          <w:szCs w:val="32"/>
          <w:u w:val="single"/>
          <w:rtl/>
        </w:rPr>
        <w:t>ال</w:t>
      </w:r>
      <w:r w:rsidR="00BA540F" w:rsidRPr="00A25AB2">
        <w:rPr>
          <w:rFonts w:ascii="Cambria" w:hAnsi="Cambria" w:hint="cs"/>
          <w:sz w:val="32"/>
          <w:szCs w:val="32"/>
          <w:u w:val="single"/>
          <w:rtl/>
        </w:rPr>
        <w:t xml:space="preserve">بنية التحتية كخدمة </w:t>
      </w:r>
      <w:r w:rsidR="00BA540F" w:rsidRPr="0039290C">
        <w:rPr>
          <w:rFonts w:asciiTheme="majorHAnsi" w:hAnsiTheme="majorHAnsi"/>
          <w:sz w:val="28"/>
          <w:szCs w:val="28"/>
          <w:u w:val="single"/>
          <w:rtl/>
        </w:rPr>
        <w:t>(</w:t>
      </w:r>
      <w:r w:rsidR="00BA540F" w:rsidRPr="0039290C">
        <w:rPr>
          <w:rFonts w:asciiTheme="majorHAnsi" w:hAnsiTheme="majorHAnsi"/>
          <w:sz w:val="28"/>
          <w:szCs w:val="28"/>
          <w:u w:val="single"/>
        </w:rPr>
        <w:t>Infrastructure as a Service - IaaS</w:t>
      </w:r>
      <w:r w:rsidR="00BA540F" w:rsidRPr="0039290C">
        <w:rPr>
          <w:rFonts w:asciiTheme="majorHAnsi" w:hAnsiTheme="majorHAnsi"/>
          <w:sz w:val="28"/>
          <w:szCs w:val="28"/>
          <w:u w:val="single"/>
          <w:rtl/>
        </w:rPr>
        <w:t>)</w:t>
      </w:r>
      <w:r w:rsidR="00BA540F" w:rsidRPr="00A25AB2">
        <w:rPr>
          <w:rFonts w:ascii="Cambria" w:hAnsi="Cambria" w:hint="cs"/>
          <w:sz w:val="32"/>
          <w:szCs w:val="32"/>
          <w:rtl/>
        </w:rPr>
        <w:t>:</w:t>
      </w:r>
    </w:p>
    <w:p w14:paraId="02854F0B" w14:textId="7D70B83E" w:rsidR="00BA540F" w:rsidRDefault="00261807" w:rsidP="00BA540F">
      <w:pPr>
        <w:jc w:val="both"/>
        <w:rPr>
          <w:rFonts w:ascii="Cambria" w:hAnsi="Cambria"/>
          <w:sz w:val="32"/>
          <w:szCs w:val="32"/>
          <w:rtl/>
        </w:rPr>
      </w:pPr>
      <w:r>
        <w:rPr>
          <w:rFonts w:ascii="Cambria" w:hAnsi="Cambria" w:hint="cs"/>
          <w:sz w:val="32"/>
          <w:szCs w:val="32"/>
          <w:rtl/>
        </w:rPr>
        <w:t>تتمثل الخدمة في تقديم المعالجة والتخزين والشبكات وموارد الحوسبة الأساسية الأخرى للمستهلك. فيكون قادراً على نشر وتشغيل البرامج اختياراً، بما في ذلك أنظمة التشغيل والتطبيقات. لا يدير المستهلك أو يتحكم في البنية التحتية السحابية ولكن يتحكم في أنظمة التشغيل والتخزين والتطبيقات المنشورة، وقد يكون له تحكم م</w:t>
      </w:r>
      <w:r w:rsidR="00177E92">
        <w:rPr>
          <w:rFonts w:ascii="Cambria" w:hAnsi="Cambria" w:hint="cs"/>
          <w:sz w:val="32"/>
          <w:szCs w:val="32"/>
          <w:rtl/>
        </w:rPr>
        <w:t>حدو</w:t>
      </w:r>
      <w:r>
        <w:rPr>
          <w:rFonts w:ascii="Cambria" w:hAnsi="Cambria" w:hint="cs"/>
          <w:sz w:val="32"/>
          <w:szCs w:val="32"/>
          <w:rtl/>
        </w:rPr>
        <w:t xml:space="preserve">د في </w:t>
      </w:r>
      <w:r w:rsidR="00177E92">
        <w:rPr>
          <w:rFonts w:ascii="Cambria" w:hAnsi="Cambria" w:hint="cs"/>
          <w:sz w:val="32"/>
          <w:szCs w:val="32"/>
          <w:rtl/>
        </w:rPr>
        <w:t xml:space="preserve">بعض </w:t>
      </w:r>
      <w:r>
        <w:rPr>
          <w:rFonts w:ascii="Cambria" w:hAnsi="Cambria" w:hint="cs"/>
          <w:sz w:val="32"/>
          <w:szCs w:val="32"/>
          <w:rtl/>
        </w:rPr>
        <w:t xml:space="preserve">مكونات </w:t>
      </w:r>
      <w:r w:rsidR="00177E92">
        <w:rPr>
          <w:rFonts w:ascii="Cambria" w:hAnsi="Cambria" w:hint="cs"/>
          <w:sz w:val="32"/>
          <w:szCs w:val="32"/>
          <w:rtl/>
        </w:rPr>
        <w:t>ال</w:t>
      </w:r>
      <w:r>
        <w:rPr>
          <w:rFonts w:ascii="Cambria" w:hAnsi="Cambria" w:hint="cs"/>
          <w:sz w:val="32"/>
          <w:szCs w:val="32"/>
          <w:rtl/>
        </w:rPr>
        <w:t>شبكات.</w:t>
      </w:r>
    </w:p>
    <w:p w14:paraId="2F5C27D4" w14:textId="72301DC3" w:rsidR="00711D9C" w:rsidRPr="00FC18AE" w:rsidRDefault="00711D9C" w:rsidP="00BA540F">
      <w:pPr>
        <w:jc w:val="both"/>
        <w:rPr>
          <w:rFonts w:ascii="Cambria" w:hAnsi="Cambria"/>
          <w:b/>
          <w:bCs/>
          <w:sz w:val="36"/>
          <w:szCs w:val="36"/>
          <w:rtl/>
        </w:rPr>
      </w:pPr>
      <w:r w:rsidRPr="00FC18AE">
        <w:rPr>
          <w:rFonts w:ascii="Cambria" w:hAnsi="Cambria" w:hint="cs"/>
          <w:b/>
          <w:bCs/>
          <w:sz w:val="36"/>
          <w:szCs w:val="36"/>
          <w:rtl/>
        </w:rPr>
        <w:t>نماذج نشر الحوسبة السحابية:</w:t>
      </w:r>
    </w:p>
    <w:p w14:paraId="03F9473B" w14:textId="0F033A54" w:rsidR="00A57EA4" w:rsidRPr="001E173C" w:rsidRDefault="00C8399B" w:rsidP="001E173C">
      <w:pPr>
        <w:pStyle w:val="a8"/>
        <w:numPr>
          <w:ilvl w:val="0"/>
          <w:numId w:val="12"/>
        </w:numPr>
        <w:jc w:val="both"/>
        <w:rPr>
          <w:rFonts w:ascii="Cambria" w:hAnsi="Cambria"/>
          <w:sz w:val="32"/>
          <w:szCs w:val="32"/>
        </w:rPr>
      </w:pPr>
      <w:r>
        <w:rPr>
          <w:rFonts w:ascii="Cambria" w:hAnsi="Cambria" w:hint="cs"/>
          <w:sz w:val="32"/>
          <w:szCs w:val="32"/>
          <w:rtl/>
        </w:rPr>
        <w:t>ال</w:t>
      </w:r>
      <w:r w:rsidR="00A57EA4" w:rsidRPr="001E173C">
        <w:rPr>
          <w:rFonts w:ascii="Cambria" w:hAnsi="Cambria"/>
          <w:sz w:val="32"/>
          <w:szCs w:val="32"/>
          <w:rtl/>
        </w:rPr>
        <w:t xml:space="preserve">سحابة </w:t>
      </w:r>
      <w:r>
        <w:rPr>
          <w:rFonts w:ascii="Cambria" w:hAnsi="Cambria" w:hint="cs"/>
          <w:sz w:val="32"/>
          <w:szCs w:val="32"/>
          <w:rtl/>
        </w:rPr>
        <w:t>ال</w:t>
      </w:r>
      <w:r w:rsidR="00A57EA4" w:rsidRPr="001E173C">
        <w:rPr>
          <w:rFonts w:ascii="Cambria" w:hAnsi="Cambria"/>
          <w:sz w:val="32"/>
          <w:szCs w:val="32"/>
          <w:rtl/>
        </w:rPr>
        <w:t>خاصة</w:t>
      </w:r>
      <w:r w:rsidR="001E173C" w:rsidRPr="001E173C">
        <w:rPr>
          <w:rFonts w:ascii="Cambria" w:hAnsi="Cambria"/>
          <w:sz w:val="32"/>
          <w:szCs w:val="32"/>
        </w:rPr>
        <w:t>:</w:t>
      </w:r>
      <w:r w:rsidR="00E56005" w:rsidRPr="001E173C">
        <w:rPr>
          <w:rFonts w:ascii="Cambria" w:hAnsi="Cambria" w:hint="cs"/>
          <w:sz w:val="32"/>
          <w:szCs w:val="32"/>
          <w:rtl/>
          <w:lang w:val="en-GB"/>
        </w:rPr>
        <w:t xml:space="preserve"> تُقدم</w:t>
      </w:r>
      <w:r w:rsidR="00A57EA4" w:rsidRPr="001E173C">
        <w:rPr>
          <w:rFonts w:ascii="Cambria" w:hAnsi="Cambria"/>
          <w:sz w:val="32"/>
          <w:szCs w:val="32"/>
          <w:rtl/>
        </w:rPr>
        <w:t xml:space="preserve"> البنية التحتية السحابية للاستخدام الحصري من قبل مؤسسة واحدة تضم مستهلكين متعددين (على سبيل </w:t>
      </w:r>
      <w:r w:rsidR="00A57EA4" w:rsidRPr="001E173C">
        <w:rPr>
          <w:rFonts w:ascii="Cambria" w:hAnsi="Cambria" w:hint="cs"/>
          <w:sz w:val="32"/>
          <w:szCs w:val="32"/>
          <w:rtl/>
        </w:rPr>
        <w:t>المثال،</w:t>
      </w:r>
      <w:r w:rsidR="00A57EA4" w:rsidRPr="001E173C">
        <w:rPr>
          <w:rFonts w:ascii="Cambria" w:hAnsi="Cambria"/>
          <w:sz w:val="32"/>
          <w:szCs w:val="32"/>
          <w:rtl/>
        </w:rPr>
        <w:t xml:space="preserve"> وحدات الأعمال). قد تكون مملوكة ومدارة ومشغلة من قبل المنظمة </w:t>
      </w:r>
      <w:r w:rsidR="00A57EA4" w:rsidRPr="001E173C">
        <w:rPr>
          <w:rFonts w:ascii="Cambria" w:hAnsi="Cambria"/>
          <w:sz w:val="32"/>
          <w:szCs w:val="32"/>
          <w:rtl/>
        </w:rPr>
        <w:lastRenderedPageBreak/>
        <w:t xml:space="preserve">أو طرف ثالث أو مزيج </w:t>
      </w:r>
      <w:r w:rsidR="00A57EA4" w:rsidRPr="001E173C">
        <w:rPr>
          <w:rFonts w:ascii="Cambria" w:hAnsi="Cambria" w:hint="cs"/>
          <w:sz w:val="32"/>
          <w:szCs w:val="32"/>
          <w:rtl/>
        </w:rPr>
        <w:t>منهم،</w:t>
      </w:r>
      <w:r w:rsidR="00A57EA4" w:rsidRPr="001E173C">
        <w:rPr>
          <w:rFonts w:ascii="Cambria" w:hAnsi="Cambria"/>
          <w:sz w:val="32"/>
          <w:szCs w:val="32"/>
          <w:rtl/>
        </w:rPr>
        <w:t xml:space="preserve"> وقد تكون موجودة داخل المباني أو خارجها</w:t>
      </w:r>
      <w:r w:rsidR="001E173C">
        <w:rPr>
          <w:rFonts w:ascii="Cambria" w:hAnsi="Cambria" w:hint="cs"/>
          <w:sz w:val="32"/>
          <w:szCs w:val="32"/>
          <w:rtl/>
        </w:rPr>
        <w:t>.</w:t>
      </w:r>
    </w:p>
    <w:p w14:paraId="66B8E263" w14:textId="3CC22687" w:rsidR="001E173C" w:rsidRDefault="00C8399B" w:rsidP="00641B00">
      <w:pPr>
        <w:pStyle w:val="a8"/>
        <w:numPr>
          <w:ilvl w:val="0"/>
          <w:numId w:val="12"/>
        </w:numPr>
        <w:jc w:val="both"/>
        <w:rPr>
          <w:rFonts w:ascii="Cambria" w:hAnsi="Cambria"/>
          <w:sz w:val="32"/>
          <w:szCs w:val="32"/>
        </w:rPr>
      </w:pPr>
      <w:r>
        <w:rPr>
          <w:rFonts w:ascii="Cambria" w:hAnsi="Cambria" w:hint="cs"/>
          <w:sz w:val="32"/>
          <w:szCs w:val="32"/>
          <w:rtl/>
        </w:rPr>
        <w:t>ال</w:t>
      </w:r>
      <w:r w:rsidR="00641B00" w:rsidRPr="00641B00">
        <w:rPr>
          <w:rFonts w:ascii="Cambria" w:hAnsi="Cambria"/>
          <w:sz w:val="32"/>
          <w:szCs w:val="32"/>
          <w:rtl/>
        </w:rPr>
        <w:t>سحابة المجتمع</w:t>
      </w:r>
      <w:r>
        <w:rPr>
          <w:rFonts w:ascii="Cambria" w:hAnsi="Cambria" w:hint="cs"/>
          <w:sz w:val="32"/>
          <w:szCs w:val="32"/>
          <w:rtl/>
        </w:rPr>
        <w:t>ية</w:t>
      </w:r>
      <w:r w:rsidR="00641B00">
        <w:rPr>
          <w:rFonts w:ascii="Cambria" w:hAnsi="Cambria" w:hint="cs"/>
          <w:sz w:val="32"/>
          <w:szCs w:val="32"/>
          <w:rtl/>
        </w:rPr>
        <w:t>:</w:t>
      </w:r>
      <w:r w:rsidR="00641B00" w:rsidRPr="00641B00">
        <w:rPr>
          <w:rFonts w:ascii="Cambria" w:hAnsi="Cambria"/>
          <w:sz w:val="32"/>
          <w:szCs w:val="32"/>
          <w:rtl/>
        </w:rPr>
        <w:t xml:space="preserve"> </w:t>
      </w:r>
      <w:r w:rsidR="00641B00">
        <w:rPr>
          <w:rFonts w:ascii="Cambria" w:hAnsi="Cambria" w:hint="cs"/>
          <w:sz w:val="32"/>
          <w:szCs w:val="32"/>
          <w:rtl/>
        </w:rPr>
        <w:t>تُقدم</w:t>
      </w:r>
      <w:r w:rsidR="00641B00" w:rsidRPr="00641B00">
        <w:rPr>
          <w:rFonts w:ascii="Cambria" w:hAnsi="Cambria"/>
          <w:sz w:val="32"/>
          <w:szCs w:val="32"/>
          <w:rtl/>
        </w:rPr>
        <w:t xml:space="preserve"> البنية التحتية السحابية للاستخدام الحصري من قبل مجتمع معين من المستهلكين من المنظمات التي لديها مخاوف مشتركة (على سبيل </w:t>
      </w:r>
      <w:r w:rsidR="00641B00" w:rsidRPr="00641B00">
        <w:rPr>
          <w:rFonts w:ascii="Cambria" w:hAnsi="Cambria" w:hint="cs"/>
          <w:sz w:val="32"/>
          <w:szCs w:val="32"/>
          <w:rtl/>
        </w:rPr>
        <w:t>المثال،</w:t>
      </w:r>
      <w:r w:rsidR="00641B00" w:rsidRPr="00641B00">
        <w:rPr>
          <w:rFonts w:ascii="Cambria" w:hAnsi="Cambria"/>
          <w:sz w:val="32"/>
          <w:szCs w:val="32"/>
          <w:rtl/>
        </w:rPr>
        <w:t xml:space="preserve"> المهمة ومتطلبات الأمان والسياسة واعتبارات الامتثال). قد تكون مملوكة ومدارة ومشغلة من قبل واحدة أو أكثر من المنظمات في </w:t>
      </w:r>
      <w:r w:rsidR="00641B00" w:rsidRPr="00641B00">
        <w:rPr>
          <w:rFonts w:ascii="Cambria" w:hAnsi="Cambria" w:hint="cs"/>
          <w:sz w:val="32"/>
          <w:szCs w:val="32"/>
          <w:rtl/>
        </w:rPr>
        <w:t>المجتمع،</w:t>
      </w:r>
      <w:r w:rsidR="00641B00" w:rsidRPr="00641B00">
        <w:rPr>
          <w:rFonts w:ascii="Cambria" w:hAnsi="Cambria"/>
          <w:sz w:val="32"/>
          <w:szCs w:val="32"/>
          <w:rtl/>
        </w:rPr>
        <w:t xml:space="preserve"> أو طرف </w:t>
      </w:r>
      <w:r w:rsidR="00641B00" w:rsidRPr="00641B00">
        <w:rPr>
          <w:rFonts w:ascii="Cambria" w:hAnsi="Cambria" w:hint="cs"/>
          <w:sz w:val="32"/>
          <w:szCs w:val="32"/>
          <w:rtl/>
        </w:rPr>
        <w:t>ثالث،</w:t>
      </w:r>
      <w:r w:rsidR="00641B00" w:rsidRPr="00641B00">
        <w:rPr>
          <w:rFonts w:ascii="Cambria" w:hAnsi="Cambria"/>
          <w:sz w:val="32"/>
          <w:szCs w:val="32"/>
          <w:rtl/>
        </w:rPr>
        <w:t xml:space="preserve"> أو مزيج منهم، وقد تكون موجودة داخل أو خارج المباني</w:t>
      </w:r>
      <w:r w:rsidR="00641B00">
        <w:rPr>
          <w:rFonts w:ascii="Cambria" w:hAnsi="Cambria" w:hint="cs"/>
          <w:sz w:val="32"/>
          <w:szCs w:val="32"/>
          <w:rtl/>
        </w:rPr>
        <w:t>.</w:t>
      </w:r>
    </w:p>
    <w:p w14:paraId="0022E9FD" w14:textId="4EB33596" w:rsidR="00641B00" w:rsidRDefault="00641B00" w:rsidP="00641B00">
      <w:pPr>
        <w:pStyle w:val="a8"/>
        <w:numPr>
          <w:ilvl w:val="0"/>
          <w:numId w:val="12"/>
        </w:numPr>
        <w:jc w:val="both"/>
        <w:rPr>
          <w:rFonts w:ascii="Cambria" w:hAnsi="Cambria"/>
          <w:sz w:val="32"/>
          <w:szCs w:val="32"/>
        </w:rPr>
      </w:pPr>
      <w:r w:rsidRPr="00641B00">
        <w:rPr>
          <w:rFonts w:ascii="Cambria" w:hAnsi="Cambria"/>
          <w:sz w:val="32"/>
          <w:szCs w:val="32"/>
          <w:rtl/>
        </w:rPr>
        <w:t>السحابة العامة</w:t>
      </w:r>
      <w:r>
        <w:rPr>
          <w:rFonts w:ascii="Cambria" w:hAnsi="Cambria" w:hint="cs"/>
          <w:sz w:val="32"/>
          <w:szCs w:val="32"/>
          <w:rtl/>
        </w:rPr>
        <w:t>:</w:t>
      </w:r>
      <w:r w:rsidRPr="00641B00">
        <w:rPr>
          <w:rFonts w:ascii="Cambria" w:hAnsi="Cambria"/>
          <w:sz w:val="32"/>
          <w:szCs w:val="32"/>
          <w:rtl/>
        </w:rPr>
        <w:t xml:space="preserve"> ت</w:t>
      </w:r>
      <w:r>
        <w:rPr>
          <w:rFonts w:ascii="Cambria" w:hAnsi="Cambria" w:hint="cs"/>
          <w:sz w:val="32"/>
          <w:szCs w:val="32"/>
          <w:rtl/>
        </w:rPr>
        <w:t>ُقدم</w:t>
      </w:r>
      <w:r w:rsidRPr="00641B00">
        <w:rPr>
          <w:rFonts w:ascii="Cambria" w:hAnsi="Cambria"/>
          <w:sz w:val="32"/>
          <w:szCs w:val="32"/>
          <w:rtl/>
        </w:rPr>
        <w:t xml:space="preserve"> البنية التحتية السحابية للاستخدام المفتوح من قبل عامة </w:t>
      </w:r>
      <w:r w:rsidR="00D22A6F" w:rsidRPr="00641B00">
        <w:rPr>
          <w:rFonts w:ascii="Cambria" w:hAnsi="Cambria" w:hint="cs"/>
          <w:sz w:val="32"/>
          <w:szCs w:val="32"/>
          <w:rtl/>
        </w:rPr>
        <w:t>الناس.</w:t>
      </w:r>
      <w:r w:rsidR="00D22A6F">
        <w:rPr>
          <w:rFonts w:ascii="Cambria" w:hAnsi="Cambria" w:hint="cs"/>
          <w:sz w:val="32"/>
          <w:szCs w:val="32"/>
          <w:rtl/>
        </w:rPr>
        <w:t xml:space="preserve"> </w:t>
      </w:r>
      <w:r w:rsidR="00D22A6F" w:rsidRPr="00641B00">
        <w:rPr>
          <w:rFonts w:ascii="Cambria" w:hAnsi="Cambria" w:hint="cs"/>
          <w:sz w:val="32"/>
          <w:szCs w:val="32"/>
          <w:rtl/>
        </w:rPr>
        <w:t>وقد</w:t>
      </w:r>
      <w:r w:rsidRPr="00641B00">
        <w:rPr>
          <w:rFonts w:ascii="Cambria" w:hAnsi="Cambria"/>
          <w:sz w:val="32"/>
          <w:szCs w:val="32"/>
          <w:rtl/>
        </w:rPr>
        <w:t xml:space="preserve"> </w:t>
      </w:r>
      <w:r w:rsidR="00D22A6F">
        <w:rPr>
          <w:rFonts w:ascii="Cambria" w:hAnsi="Cambria" w:hint="cs"/>
          <w:sz w:val="32"/>
          <w:szCs w:val="32"/>
          <w:rtl/>
        </w:rPr>
        <w:t>ت</w:t>
      </w:r>
      <w:r w:rsidRPr="00641B00">
        <w:rPr>
          <w:rFonts w:ascii="Cambria" w:hAnsi="Cambria"/>
          <w:sz w:val="32"/>
          <w:szCs w:val="32"/>
          <w:rtl/>
        </w:rPr>
        <w:t>كون مملوك</w:t>
      </w:r>
      <w:r w:rsidR="00D22A6F">
        <w:rPr>
          <w:rFonts w:ascii="Cambria" w:hAnsi="Cambria" w:hint="cs"/>
          <w:sz w:val="32"/>
          <w:szCs w:val="32"/>
          <w:rtl/>
        </w:rPr>
        <w:t>ة</w:t>
      </w:r>
      <w:r w:rsidRPr="00641B00">
        <w:rPr>
          <w:rFonts w:ascii="Cambria" w:hAnsi="Cambria"/>
          <w:sz w:val="32"/>
          <w:szCs w:val="32"/>
          <w:rtl/>
        </w:rPr>
        <w:t xml:space="preserve"> ومدار</w:t>
      </w:r>
      <w:r w:rsidR="00D22A6F">
        <w:rPr>
          <w:rFonts w:ascii="Cambria" w:hAnsi="Cambria" w:hint="cs"/>
          <w:sz w:val="32"/>
          <w:szCs w:val="32"/>
          <w:rtl/>
        </w:rPr>
        <w:t>ة</w:t>
      </w:r>
      <w:r w:rsidRPr="00641B00">
        <w:rPr>
          <w:rFonts w:ascii="Cambria" w:hAnsi="Cambria"/>
          <w:sz w:val="32"/>
          <w:szCs w:val="32"/>
          <w:rtl/>
        </w:rPr>
        <w:t xml:space="preserve"> ومُشغل</w:t>
      </w:r>
      <w:r w:rsidR="00D22A6F">
        <w:rPr>
          <w:rFonts w:ascii="Cambria" w:hAnsi="Cambria" w:hint="cs"/>
          <w:sz w:val="32"/>
          <w:szCs w:val="32"/>
          <w:rtl/>
        </w:rPr>
        <w:t>ة</w:t>
      </w:r>
      <w:r w:rsidRPr="00641B00">
        <w:rPr>
          <w:rFonts w:ascii="Cambria" w:hAnsi="Cambria"/>
          <w:sz w:val="32"/>
          <w:szCs w:val="32"/>
          <w:rtl/>
        </w:rPr>
        <w:t xml:space="preserve"> بواسطة شركة أو مؤسسة أكاديمية أو </w:t>
      </w:r>
      <w:r w:rsidRPr="00641B00">
        <w:rPr>
          <w:rFonts w:ascii="Cambria" w:hAnsi="Cambria" w:hint="cs"/>
          <w:sz w:val="32"/>
          <w:szCs w:val="32"/>
          <w:rtl/>
        </w:rPr>
        <w:t>حكومية،</w:t>
      </w:r>
      <w:r w:rsidRPr="00641B00">
        <w:rPr>
          <w:rFonts w:ascii="Cambria" w:hAnsi="Cambria"/>
          <w:sz w:val="32"/>
          <w:szCs w:val="32"/>
          <w:rtl/>
        </w:rPr>
        <w:t xml:space="preserve"> أو مزيجًا منهم. </w:t>
      </w:r>
      <w:r>
        <w:rPr>
          <w:rFonts w:ascii="Cambria" w:hAnsi="Cambria" w:hint="cs"/>
          <w:sz w:val="32"/>
          <w:szCs w:val="32"/>
          <w:rtl/>
        </w:rPr>
        <w:t xml:space="preserve">وتكون </w:t>
      </w:r>
      <w:r w:rsidRPr="00641B00">
        <w:rPr>
          <w:rFonts w:ascii="Cambria" w:hAnsi="Cambria"/>
          <w:sz w:val="32"/>
          <w:szCs w:val="32"/>
          <w:rtl/>
        </w:rPr>
        <w:t>موجود</w:t>
      </w:r>
      <w:r>
        <w:rPr>
          <w:rFonts w:ascii="Cambria" w:hAnsi="Cambria" w:hint="cs"/>
          <w:sz w:val="32"/>
          <w:szCs w:val="32"/>
          <w:rtl/>
        </w:rPr>
        <w:t xml:space="preserve">ة </w:t>
      </w:r>
      <w:r w:rsidRPr="00641B00">
        <w:rPr>
          <w:rFonts w:ascii="Cambria" w:hAnsi="Cambria"/>
          <w:sz w:val="32"/>
          <w:szCs w:val="32"/>
          <w:rtl/>
        </w:rPr>
        <w:t>في مباني مزود السحاب</w:t>
      </w:r>
      <w:r>
        <w:rPr>
          <w:rFonts w:ascii="Cambria" w:hAnsi="Cambria" w:hint="cs"/>
          <w:sz w:val="32"/>
          <w:szCs w:val="32"/>
          <w:rtl/>
        </w:rPr>
        <w:t>ة.</w:t>
      </w:r>
    </w:p>
    <w:p w14:paraId="4789E4C6" w14:textId="61B5DAC3" w:rsidR="00D22A6F" w:rsidRDefault="00C8399B" w:rsidP="00C8399B">
      <w:pPr>
        <w:pStyle w:val="a8"/>
        <w:numPr>
          <w:ilvl w:val="0"/>
          <w:numId w:val="12"/>
        </w:numPr>
        <w:jc w:val="both"/>
        <w:rPr>
          <w:rFonts w:ascii="Cambria" w:hAnsi="Cambria"/>
          <w:sz w:val="32"/>
          <w:szCs w:val="32"/>
        </w:rPr>
      </w:pPr>
      <w:r>
        <w:rPr>
          <w:rFonts w:ascii="Cambria" w:hAnsi="Cambria" w:hint="cs"/>
          <w:sz w:val="32"/>
          <w:szCs w:val="32"/>
          <w:rtl/>
        </w:rPr>
        <w:t xml:space="preserve">السحابة الهجينة: </w:t>
      </w:r>
      <w:r w:rsidRPr="00C8399B">
        <w:rPr>
          <w:rFonts w:ascii="Cambria" w:hAnsi="Cambria"/>
          <w:sz w:val="32"/>
          <w:szCs w:val="32"/>
          <w:rtl/>
        </w:rPr>
        <w:t>البنية التحتية السحابية عبارة عن تكوين من اثنين أو أكثر من البنى التحتية السحابية الم</w:t>
      </w:r>
      <w:r>
        <w:rPr>
          <w:rFonts w:ascii="Cambria" w:hAnsi="Cambria" w:hint="cs"/>
          <w:sz w:val="32"/>
          <w:szCs w:val="32"/>
          <w:rtl/>
        </w:rPr>
        <w:t xml:space="preserve">ستقلة </w:t>
      </w:r>
      <w:r w:rsidRPr="00C8399B">
        <w:rPr>
          <w:rFonts w:ascii="Cambria" w:hAnsi="Cambria"/>
          <w:sz w:val="32"/>
          <w:szCs w:val="32"/>
          <w:rtl/>
        </w:rPr>
        <w:t xml:space="preserve">(خاصة أو مجتمعية أو عامة) </w:t>
      </w:r>
      <w:r>
        <w:rPr>
          <w:rFonts w:ascii="Cambria" w:hAnsi="Cambria" w:hint="cs"/>
          <w:sz w:val="32"/>
          <w:szCs w:val="32"/>
          <w:rtl/>
        </w:rPr>
        <w:t xml:space="preserve">التي </w:t>
      </w:r>
      <w:r w:rsidRPr="00C8399B">
        <w:rPr>
          <w:rFonts w:ascii="Cambria" w:hAnsi="Cambria"/>
          <w:sz w:val="32"/>
          <w:szCs w:val="32"/>
          <w:rtl/>
        </w:rPr>
        <w:t xml:space="preserve">تظل كيانات </w:t>
      </w:r>
      <w:r>
        <w:rPr>
          <w:rFonts w:ascii="Cambria" w:hAnsi="Cambria" w:hint="cs"/>
          <w:sz w:val="32"/>
          <w:szCs w:val="32"/>
          <w:rtl/>
        </w:rPr>
        <w:t>منفرد</w:t>
      </w:r>
      <w:r w:rsidRPr="00C8399B">
        <w:rPr>
          <w:rFonts w:ascii="Cambria" w:hAnsi="Cambria"/>
          <w:sz w:val="32"/>
          <w:szCs w:val="32"/>
          <w:rtl/>
        </w:rPr>
        <w:t xml:space="preserve">ة، ولكنها مرتبطة ببعضها البعض بواسطة تقنية قياسية أو مملوكة تتيح إمكانية نقل البيانات والتطبيقات (على سبيل </w:t>
      </w:r>
      <w:r w:rsidR="00140394" w:rsidRPr="00C8399B">
        <w:rPr>
          <w:rFonts w:ascii="Cambria" w:hAnsi="Cambria" w:hint="cs"/>
          <w:sz w:val="32"/>
          <w:szCs w:val="32"/>
          <w:rtl/>
        </w:rPr>
        <w:t>المثال،</w:t>
      </w:r>
      <w:r w:rsidRPr="00C8399B">
        <w:rPr>
          <w:rFonts w:ascii="Cambria" w:hAnsi="Cambria"/>
          <w:sz w:val="32"/>
          <w:szCs w:val="32"/>
          <w:rtl/>
        </w:rPr>
        <w:t xml:space="preserve"> انفجار السحابة لموازنة الحمل بين</w:t>
      </w:r>
      <w:r>
        <w:rPr>
          <w:rFonts w:ascii="Cambria" w:hAnsi="Cambria" w:hint="cs"/>
          <w:sz w:val="32"/>
          <w:szCs w:val="32"/>
          <w:rtl/>
        </w:rPr>
        <w:t xml:space="preserve"> السحابات).</w:t>
      </w:r>
    </w:p>
    <w:p w14:paraId="2D0D64D6" w14:textId="1AE77EAD" w:rsidR="00BB5560" w:rsidRDefault="00BB5560" w:rsidP="00235503">
      <w:pPr>
        <w:rPr>
          <w:rFonts w:cs="Cambria"/>
          <w:sz w:val="28"/>
          <w:szCs w:val="28"/>
          <w:rtl/>
        </w:rPr>
      </w:pPr>
    </w:p>
    <w:p w14:paraId="721D8080" w14:textId="77777777" w:rsidR="00BB5560" w:rsidRDefault="00BB5560" w:rsidP="00235503">
      <w:pPr>
        <w:rPr>
          <w:rFonts w:cs="Cambria"/>
          <w:sz w:val="28"/>
          <w:szCs w:val="28"/>
          <w:rtl/>
        </w:rPr>
      </w:pPr>
    </w:p>
    <w:p w14:paraId="42BA2D4B" w14:textId="5D74BBF0" w:rsidR="008C28F6" w:rsidRPr="00156788" w:rsidRDefault="002C1B32" w:rsidP="00E56CDC">
      <w:pPr>
        <w:jc w:val="both"/>
        <w:rPr>
          <w:rFonts w:asciiTheme="majorBidi" w:hAnsiTheme="majorBidi"/>
          <w:b/>
          <w:bCs/>
          <w:sz w:val="32"/>
          <w:szCs w:val="32"/>
          <w:rtl/>
        </w:rPr>
      </w:pPr>
      <w:r w:rsidRPr="00156788">
        <w:rPr>
          <w:rFonts w:asciiTheme="majorBidi" w:hAnsiTheme="majorBidi" w:cstheme="majorBidi" w:hint="cs"/>
          <w:b/>
          <w:bCs/>
          <w:sz w:val="32"/>
          <w:szCs w:val="32"/>
          <w:rtl/>
        </w:rPr>
        <w:lastRenderedPageBreak/>
        <w:t xml:space="preserve">دراسات وأبحاث </w:t>
      </w:r>
      <w:r w:rsidR="004F1D4A">
        <w:rPr>
          <w:rFonts w:asciiTheme="majorBidi" w:hAnsiTheme="majorBidi" w:cstheme="majorBidi" w:hint="cs"/>
          <w:b/>
          <w:bCs/>
          <w:sz w:val="32"/>
          <w:szCs w:val="32"/>
          <w:rtl/>
        </w:rPr>
        <w:t>حول</w:t>
      </w:r>
      <w:r w:rsidRPr="00156788">
        <w:rPr>
          <w:rFonts w:asciiTheme="majorBidi" w:hAnsiTheme="majorBidi" w:cstheme="majorBidi" w:hint="cs"/>
          <w:b/>
          <w:bCs/>
          <w:sz w:val="32"/>
          <w:szCs w:val="32"/>
          <w:rtl/>
        </w:rPr>
        <w:t xml:space="preserve"> الحوسبة السحابية في </w:t>
      </w:r>
      <w:r w:rsidR="004F1D4A">
        <w:rPr>
          <w:rFonts w:asciiTheme="majorBidi" w:hAnsiTheme="majorBidi" w:cstheme="majorBidi" w:hint="cs"/>
          <w:b/>
          <w:bCs/>
          <w:sz w:val="32"/>
          <w:szCs w:val="32"/>
          <w:rtl/>
        </w:rPr>
        <w:t xml:space="preserve">مجال </w:t>
      </w:r>
      <w:r w:rsidRPr="00156788">
        <w:rPr>
          <w:rFonts w:asciiTheme="majorBidi" w:hAnsiTheme="majorBidi" w:cstheme="majorBidi" w:hint="cs"/>
          <w:b/>
          <w:bCs/>
          <w:sz w:val="32"/>
          <w:szCs w:val="32"/>
          <w:rtl/>
        </w:rPr>
        <w:t>التعليم</w:t>
      </w:r>
    </w:p>
    <w:p w14:paraId="3CDE0DA7" w14:textId="15C8132D" w:rsidR="009F492C" w:rsidRPr="00C15B38" w:rsidRDefault="00156788" w:rsidP="009F492C">
      <w:pPr>
        <w:jc w:val="both"/>
        <w:rPr>
          <w:rFonts w:asciiTheme="majorBidi" w:hAnsiTheme="majorBidi"/>
          <w:sz w:val="28"/>
          <w:szCs w:val="28"/>
          <w:rtl/>
        </w:rPr>
      </w:pPr>
      <w:r>
        <w:rPr>
          <w:rFonts w:asciiTheme="majorBidi" w:hAnsiTheme="majorBidi"/>
          <w:sz w:val="32"/>
          <w:szCs w:val="32"/>
          <w:rtl/>
        </w:rPr>
        <w:tab/>
      </w:r>
      <w:r w:rsidR="009F492C" w:rsidRPr="00C15B38">
        <w:rPr>
          <w:rFonts w:asciiTheme="majorBidi" w:hAnsiTheme="majorBidi" w:hint="cs"/>
          <w:sz w:val="28"/>
          <w:szCs w:val="28"/>
          <w:rtl/>
        </w:rPr>
        <w:t xml:space="preserve">تتنوع أهداف الدراسات التي تناولت موضوع الحوسبة السحابية في المجال التعليمي. وبناءً على تنوع الأهداف تختلف مناهج البحث المستخدمة فمنها الدراسات التجريبية أو شبه التجريبية التي تقيس وتحدد مدى </w:t>
      </w:r>
      <w:r w:rsidR="00B56F21">
        <w:rPr>
          <w:rFonts w:asciiTheme="majorBidi" w:hAnsiTheme="majorBidi" w:hint="cs"/>
          <w:sz w:val="28"/>
          <w:szCs w:val="28"/>
          <w:rtl/>
        </w:rPr>
        <w:t>ج</w:t>
      </w:r>
      <w:r w:rsidR="009F492C" w:rsidRPr="00C15B38">
        <w:rPr>
          <w:rFonts w:asciiTheme="majorBidi" w:hAnsiTheme="majorBidi" w:hint="cs"/>
          <w:sz w:val="28"/>
          <w:szCs w:val="28"/>
          <w:rtl/>
        </w:rPr>
        <w:t>دوى وفاعلية استخدام الحوسبة السحابية في مجال التعليم. كدراسة</w:t>
      </w:r>
      <w:r w:rsidR="00066EFB">
        <w:rPr>
          <w:rFonts w:asciiTheme="majorBidi" w:hAnsiTheme="majorBidi" w:hint="cs"/>
          <w:sz w:val="28"/>
          <w:szCs w:val="28"/>
          <w:rtl/>
        </w:rPr>
        <w:t xml:space="preserve"> العرود وآخرون</w:t>
      </w:r>
      <w:r w:rsidR="009F492C" w:rsidRPr="00C15B38">
        <w:rPr>
          <w:rFonts w:asciiTheme="majorBidi" w:hAnsiTheme="majorBidi" w:hint="cs"/>
          <w:sz w:val="28"/>
          <w:szCs w:val="28"/>
          <w:rtl/>
        </w:rPr>
        <w:t xml:space="preserve"> </w:t>
      </w:r>
      <w:r w:rsidR="009F492C" w:rsidRPr="00C15B38">
        <w:rPr>
          <w:sz w:val="24"/>
          <w:szCs w:val="24"/>
          <w:rtl/>
        </w:rPr>
        <w:t>(</w:t>
      </w:r>
      <w:r w:rsidR="009F492C" w:rsidRPr="00C15B38">
        <w:rPr>
          <w:sz w:val="24"/>
          <w:szCs w:val="24"/>
        </w:rPr>
        <w:t>Al Arood</w:t>
      </w:r>
      <w:r w:rsidR="00F75F21">
        <w:rPr>
          <w:sz w:val="24"/>
          <w:szCs w:val="24"/>
        </w:rPr>
        <w:t xml:space="preserve"> et al.</w:t>
      </w:r>
      <w:r w:rsidR="009F492C" w:rsidRPr="00C15B38">
        <w:rPr>
          <w:sz w:val="24"/>
          <w:szCs w:val="24"/>
        </w:rPr>
        <w:t>, 2020</w:t>
      </w:r>
      <w:r w:rsidR="009F492C" w:rsidRPr="00C15B38">
        <w:rPr>
          <w:sz w:val="24"/>
          <w:szCs w:val="24"/>
          <w:rtl/>
        </w:rPr>
        <w:t>)</w:t>
      </w:r>
      <w:r w:rsidR="009F492C" w:rsidRPr="00C15B38">
        <w:rPr>
          <w:rFonts w:asciiTheme="majorBidi" w:hAnsiTheme="majorBidi" w:hint="cs"/>
          <w:sz w:val="28"/>
          <w:szCs w:val="28"/>
          <w:rtl/>
        </w:rPr>
        <w:t>، و</w:t>
      </w:r>
      <w:r w:rsidR="009F492C" w:rsidRPr="00C15B38">
        <w:rPr>
          <w:rFonts w:asciiTheme="majorBidi" w:hAnsiTheme="majorBidi"/>
          <w:sz w:val="28"/>
          <w:szCs w:val="28"/>
          <w:rtl/>
        </w:rPr>
        <w:t>هدفت إلى</w:t>
      </w:r>
      <w:r w:rsidR="009F492C" w:rsidRPr="00C15B38">
        <w:rPr>
          <w:rFonts w:asciiTheme="majorBidi" w:hAnsiTheme="majorBidi" w:hint="cs"/>
          <w:sz w:val="28"/>
          <w:szCs w:val="28"/>
          <w:rtl/>
        </w:rPr>
        <w:t xml:space="preserve"> الكشف عن أثر برنامج التعلم القائم على الخدمات السحابية في تنمية مهارات التفكير التأملي بمقرر التربية الإسلامية لدى طلاب الإمارات العربية المتحدة.</w:t>
      </w:r>
      <w:r w:rsidR="009F492C" w:rsidRPr="00C15B38">
        <w:rPr>
          <w:rFonts w:asciiTheme="majorBidi" w:hAnsiTheme="majorBidi"/>
          <w:sz w:val="28"/>
          <w:szCs w:val="28"/>
          <w:rtl/>
        </w:rPr>
        <w:t xml:space="preserve"> لتحقيق الهدف اتبعت الدراسة المنهج </w:t>
      </w:r>
      <w:r w:rsidR="009F492C" w:rsidRPr="00C15B38">
        <w:rPr>
          <w:rFonts w:asciiTheme="majorBidi" w:hAnsiTheme="majorBidi" w:hint="cs"/>
          <w:sz w:val="28"/>
          <w:szCs w:val="28"/>
          <w:rtl/>
        </w:rPr>
        <w:t>شبه التجريبي، وتمثلت أداة الدراسة في اختبار التفكير التأملي</w:t>
      </w:r>
      <w:r w:rsidR="009F492C" w:rsidRPr="00C15B38">
        <w:rPr>
          <w:rFonts w:asciiTheme="majorBidi" w:hAnsiTheme="majorBidi"/>
          <w:sz w:val="28"/>
          <w:szCs w:val="28"/>
          <w:rtl/>
        </w:rPr>
        <w:t>. تكونت عينة الدراسة من</w:t>
      </w:r>
      <w:r w:rsidR="009F492C" w:rsidRPr="00C15B38">
        <w:rPr>
          <w:rFonts w:asciiTheme="majorBidi" w:hAnsiTheme="majorBidi" w:hint="cs"/>
          <w:sz w:val="28"/>
          <w:szCs w:val="28"/>
          <w:rtl/>
        </w:rPr>
        <w:t xml:space="preserve"> (94) طالب</w:t>
      </w:r>
      <w:r w:rsidR="009F492C" w:rsidRPr="00C15B38">
        <w:rPr>
          <w:rFonts w:asciiTheme="majorBidi" w:hAnsiTheme="majorBidi"/>
          <w:sz w:val="28"/>
          <w:szCs w:val="28"/>
          <w:rtl/>
        </w:rPr>
        <w:t xml:space="preserve"> </w:t>
      </w:r>
      <w:r w:rsidR="009F492C" w:rsidRPr="00C15B38">
        <w:rPr>
          <w:rFonts w:asciiTheme="majorBidi" w:hAnsiTheme="majorBidi" w:hint="cs"/>
          <w:sz w:val="28"/>
          <w:szCs w:val="28"/>
          <w:rtl/>
        </w:rPr>
        <w:t>وطالبة من طلبة الصف العاشر الذين قسموا إلى مجموعتين متساويتين: تمثل الأولى المجموعة التجريبية التي درست باستخدام الحوسبة السحابية، والثانية هي المجموعة الضابطة ودرست بالطريقة المعتادة. طُبِّق الاختبار قبلياً وبعدياً و</w:t>
      </w:r>
      <w:r w:rsidR="009F492C" w:rsidRPr="00C15B38">
        <w:rPr>
          <w:rFonts w:asciiTheme="majorBidi" w:hAnsiTheme="majorBidi"/>
          <w:sz w:val="28"/>
          <w:szCs w:val="28"/>
          <w:rtl/>
        </w:rPr>
        <w:t>توصلت الدراسة إلى</w:t>
      </w:r>
      <w:r w:rsidR="009F492C" w:rsidRPr="00C15B38">
        <w:rPr>
          <w:rFonts w:asciiTheme="majorBidi" w:hAnsiTheme="majorBidi" w:hint="cs"/>
          <w:sz w:val="28"/>
          <w:szCs w:val="28"/>
          <w:rtl/>
        </w:rPr>
        <w:t xml:space="preserve"> وجود فرق دال إحصائياً بين متوسطي درجات طلبة المجموعة التجريبية والمجموعة الضابطة لصالح المجموعة التجريبية. كما بينت النتائج عدم وجود فرق دال إحصائياً بين متوسط درجات طلبة المجموعة التجريبية في الاختبار </w:t>
      </w:r>
      <w:r w:rsidR="00E27A40">
        <w:rPr>
          <w:rFonts w:asciiTheme="majorBidi" w:hAnsiTheme="majorBidi" w:hint="cs"/>
          <w:sz w:val="28"/>
          <w:szCs w:val="28"/>
          <w:rtl/>
        </w:rPr>
        <w:t xml:space="preserve">البعدي </w:t>
      </w:r>
      <w:r w:rsidR="009F492C" w:rsidRPr="00C15B38">
        <w:rPr>
          <w:rFonts w:asciiTheme="majorBidi" w:hAnsiTheme="majorBidi" w:hint="cs"/>
          <w:sz w:val="28"/>
          <w:szCs w:val="28"/>
          <w:rtl/>
        </w:rPr>
        <w:t>يُعزى إلى متغير جنس الطالب.</w:t>
      </w:r>
    </w:p>
    <w:p w14:paraId="7D373A53" w14:textId="5F7C9958" w:rsidR="009F492C" w:rsidRPr="00C15B38" w:rsidRDefault="00156788" w:rsidP="00D13445">
      <w:pPr>
        <w:jc w:val="both"/>
        <w:rPr>
          <w:rFonts w:asciiTheme="majorBidi" w:hAnsiTheme="majorBidi"/>
          <w:sz w:val="28"/>
          <w:szCs w:val="28"/>
          <w:rtl/>
        </w:rPr>
      </w:pPr>
      <w:r w:rsidRPr="00C15B38">
        <w:rPr>
          <w:rFonts w:asciiTheme="majorBidi" w:hAnsiTheme="majorBidi"/>
          <w:sz w:val="28"/>
          <w:szCs w:val="28"/>
          <w:rtl/>
        </w:rPr>
        <w:tab/>
      </w:r>
      <w:r w:rsidR="009F492C" w:rsidRPr="00C15B38">
        <w:rPr>
          <w:rFonts w:asciiTheme="majorBidi" w:hAnsiTheme="majorBidi" w:hint="cs"/>
          <w:sz w:val="28"/>
          <w:szCs w:val="28"/>
          <w:rtl/>
        </w:rPr>
        <w:t>إضافة إلى دراسة</w:t>
      </w:r>
      <w:r w:rsidR="007F3A6D">
        <w:rPr>
          <w:rFonts w:asciiTheme="majorBidi" w:hAnsiTheme="majorBidi" w:hint="cs"/>
          <w:sz w:val="28"/>
          <w:szCs w:val="28"/>
          <w:rtl/>
        </w:rPr>
        <w:t xml:space="preserve"> ليو وآخرين</w:t>
      </w:r>
      <w:r w:rsidR="009F492C" w:rsidRPr="00C15B38">
        <w:rPr>
          <w:rFonts w:asciiTheme="majorBidi" w:hAnsiTheme="majorBidi" w:hint="cs"/>
          <w:sz w:val="28"/>
          <w:szCs w:val="28"/>
          <w:rtl/>
        </w:rPr>
        <w:t xml:space="preserve"> </w:t>
      </w:r>
      <w:r w:rsidR="009F492C" w:rsidRPr="00C15B38">
        <w:rPr>
          <w:sz w:val="24"/>
          <w:szCs w:val="24"/>
          <w:rtl/>
        </w:rPr>
        <w:t>(</w:t>
      </w:r>
      <w:r w:rsidR="009F492C" w:rsidRPr="00C15B38">
        <w:rPr>
          <w:sz w:val="24"/>
          <w:szCs w:val="24"/>
        </w:rPr>
        <w:t>Liu</w:t>
      </w:r>
      <w:r w:rsidR="007860A6">
        <w:rPr>
          <w:sz w:val="24"/>
          <w:szCs w:val="24"/>
        </w:rPr>
        <w:t xml:space="preserve"> et al., </w:t>
      </w:r>
      <w:r w:rsidR="009F492C" w:rsidRPr="00C15B38">
        <w:rPr>
          <w:sz w:val="24"/>
          <w:szCs w:val="24"/>
        </w:rPr>
        <w:t>2020</w:t>
      </w:r>
      <w:r w:rsidR="009F492C" w:rsidRPr="00C15B38">
        <w:rPr>
          <w:sz w:val="24"/>
          <w:szCs w:val="24"/>
          <w:rtl/>
        </w:rPr>
        <w:t>)</w:t>
      </w:r>
      <w:r w:rsidR="00D13445" w:rsidRPr="00C15B38">
        <w:rPr>
          <w:rFonts w:asciiTheme="majorBidi" w:hAnsiTheme="majorBidi" w:hint="cs"/>
          <w:sz w:val="28"/>
          <w:szCs w:val="28"/>
          <w:rtl/>
        </w:rPr>
        <w:t xml:space="preserve"> التي </w:t>
      </w:r>
      <w:r w:rsidR="009F492C" w:rsidRPr="00C15B38">
        <w:rPr>
          <w:rFonts w:asciiTheme="majorBidi" w:hAnsiTheme="majorBidi" w:hint="cs"/>
          <w:sz w:val="28"/>
          <w:szCs w:val="28"/>
          <w:rtl/>
        </w:rPr>
        <w:t xml:space="preserve">هدفت إلى تحديد مدى جودة أداء الطلبة وفعاليتهم مع أو بدون استخدام نظام إدارة التعلم القائم على الخدمات السحابية. اتبعت الدراسة </w:t>
      </w:r>
      <w:r w:rsidR="009F492C" w:rsidRPr="007A7BA2">
        <w:rPr>
          <w:rFonts w:asciiTheme="majorBidi" w:hAnsiTheme="majorBidi" w:hint="cs"/>
          <w:sz w:val="28"/>
          <w:szCs w:val="28"/>
          <w:rtl/>
        </w:rPr>
        <w:t>المنهج ال</w:t>
      </w:r>
      <w:r w:rsidR="007A7BA2" w:rsidRPr="007A7BA2">
        <w:rPr>
          <w:rFonts w:asciiTheme="majorBidi" w:hAnsiTheme="majorBidi" w:hint="cs"/>
          <w:sz w:val="28"/>
          <w:szCs w:val="28"/>
          <w:rtl/>
        </w:rPr>
        <w:t>خليط</w:t>
      </w:r>
      <w:r w:rsidR="009F492C" w:rsidRPr="00C15B38">
        <w:rPr>
          <w:rFonts w:asciiTheme="majorBidi" w:hAnsiTheme="majorBidi" w:hint="cs"/>
          <w:sz w:val="28"/>
          <w:szCs w:val="28"/>
          <w:rtl/>
        </w:rPr>
        <w:t xml:space="preserve"> </w:t>
      </w:r>
      <w:r w:rsidR="00322876" w:rsidRPr="00C15B38">
        <w:rPr>
          <w:rFonts w:asciiTheme="majorBidi" w:hAnsiTheme="majorBidi" w:hint="cs"/>
          <w:sz w:val="28"/>
          <w:szCs w:val="28"/>
          <w:rtl/>
        </w:rPr>
        <w:t>و</w:t>
      </w:r>
      <w:r w:rsidR="009F492C" w:rsidRPr="00C15B38">
        <w:rPr>
          <w:rFonts w:asciiTheme="majorBidi" w:hAnsiTheme="majorBidi" w:hint="cs"/>
          <w:sz w:val="28"/>
          <w:szCs w:val="28"/>
          <w:rtl/>
        </w:rPr>
        <w:t>استُخدمت الاختبارات و</w:t>
      </w:r>
      <w:r w:rsidR="009F492C" w:rsidRPr="007A7BA2">
        <w:rPr>
          <w:rFonts w:asciiTheme="majorBidi" w:hAnsiTheme="majorBidi" w:hint="cs"/>
          <w:sz w:val="28"/>
          <w:szCs w:val="28"/>
          <w:rtl/>
        </w:rPr>
        <w:t>المقابلة</w:t>
      </w:r>
      <w:r w:rsidR="009F492C" w:rsidRPr="00C15B38">
        <w:rPr>
          <w:rFonts w:asciiTheme="majorBidi" w:hAnsiTheme="majorBidi" w:hint="cs"/>
          <w:sz w:val="28"/>
          <w:szCs w:val="28"/>
          <w:rtl/>
        </w:rPr>
        <w:t xml:space="preserve"> كأدوات لجمع البيا</w:t>
      </w:r>
      <w:r w:rsidR="00D30E3F">
        <w:rPr>
          <w:rFonts w:asciiTheme="majorBidi" w:hAnsiTheme="majorBidi" w:hint="cs"/>
          <w:sz w:val="28"/>
          <w:szCs w:val="28"/>
          <w:rtl/>
        </w:rPr>
        <w:t>نا</w:t>
      </w:r>
      <w:r w:rsidR="009F492C" w:rsidRPr="00C15B38">
        <w:rPr>
          <w:rFonts w:asciiTheme="majorBidi" w:hAnsiTheme="majorBidi" w:hint="cs"/>
          <w:sz w:val="28"/>
          <w:szCs w:val="28"/>
          <w:rtl/>
        </w:rPr>
        <w:t xml:space="preserve">ت. وتكونت عينة الدراسة من (396) طالب وطالبة من طلبة </w:t>
      </w:r>
      <w:r w:rsidR="009F492C" w:rsidRPr="00C15B38">
        <w:rPr>
          <w:rFonts w:asciiTheme="majorBidi" w:hAnsiTheme="majorBidi"/>
          <w:sz w:val="28"/>
          <w:szCs w:val="28"/>
          <w:rtl/>
        </w:rPr>
        <w:t>الجامعة الروسية الحكومية للتعليم المهني</w:t>
      </w:r>
      <w:r w:rsidR="009F492C" w:rsidRPr="00C15B38">
        <w:rPr>
          <w:rFonts w:asciiTheme="majorBidi" w:hAnsiTheme="majorBidi" w:hint="cs"/>
          <w:sz w:val="28"/>
          <w:szCs w:val="28"/>
          <w:rtl/>
        </w:rPr>
        <w:t xml:space="preserve"> </w:t>
      </w:r>
      <w:r w:rsidR="009F492C" w:rsidRPr="00C15B38">
        <w:rPr>
          <w:rFonts w:asciiTheme="majorBidi" w:hAnsiTheme="majorBidi"/>
          <w:sz w:val="28"/>
          <w:szCs w:val="28"/>
          <w:rtl/>
        </w:rPr>
        <w:t>الذين يدرسون نفس الم</w:t>
      </w:r>
      <w:r w:rsidR="009F492C" w:rsidRPr="00C15B38">
        <w:rPr>
          <w:rFonts w:asciiTheme="majorBidi" w:hAnsiTheme="majorBidi" w:hint="cs"/>
          <w:sz w:val="28"/>
          <w:szCs w:val="28"/>
          <w:rtl/>
        </w:rPr>
        <w:t>قرر</w:t>
      </w:r>
      <w:r w:rsidR="009F492C" w:rsidRPr="00C15B38">
        <w:rPr>
          <w:rFonts w:asciiTheme="majorBidi" w:hAnsiTheme="majorBidi"/>
          <w:sz w:val="28"/>
          <w:szCs w:val="28"/>
          <w:rtl/>
        </w:rPr>
        <w:t xml:space="preserve"> في مجموعتين متساويتين تضم كل </w:t>
      </w:r>
      <w:r w:rsidR="009F492C" w:rsidRPr="00C15B38">
        <w:rPr>
          <w:rFonts w:asciiTheme="majorBidi" w:hAnsiTheme="majorBidi"/>
          <w:sz w:val="28"/>
          <w:szCs w:val="28"/>
          <w:rtl/>
        </w:rPr>
        <w:lastRenderedPageBreak/>
        <w:t xml:space="preserve">منهما </w:t>
      </w:r>
      <w:r w:rsidR="009F492C" w:rsidRPr="00C15B38">
        <w:rPr>
          <w:rFonts w:asciiTheme="majorBidi" w:hAnsiTheme="majorBidi" w:hint="cs"/>
          <w:sz w:val="28"/>
          <w:szCs w:val="28"/>
          <w:rtl/>
        </w:rPr>
        <w:t>(198)</w:t>
      </w:r>
      <w:r w:rsidR="009F492C" w:rsidRPr="00C15B38">
        <w:rPr>
          <w:rFonts w:asciiTheme="majorBidi" w:hAnsiTheme="majorBidi"/>
          <w:sz w:val="28"/>
          <w:szCs w:val="28"/>
          <w:rtl/>
        </w:rPr>
        <w:t xml:space="preserve"> طالبًا</w:t>
      </w:r>
      <w:r w:rsidR="009F492C" w:rsidRPr="00C15B38">
        <w:rPr>
          <w:rFonts w:asciiTheme="majorBidi" w:hAnsiTheme="majorBidi" w:hint="cs"/>
          <w:sz w:val="28"/>
          <w:szCs w:val="28"/>
          <w:rtl/>
        </w:rPr>
        <w:t xml:space="preserve">، حيث درست المجموعة الأولى المقرر في الفصول الدراسية المعتادة، بينما درست المجموعة الثانية في بيئة إدارة التعلم قائمة على الخدمات السحابية. وأظهرت نتيجة الدراسة تفوق أداء طلبة المجموعة الثانية إضافة إلى </w:t>
      </w:r>
      <w:r w:rsidR="000C5468">
        <w:rPr>
          <w:rFonts w:asciiTheme="majorBidi" w:hAnsiTheme="majorBidi" w:hint="cs"/>
          <w:sz w:val="28"/>
          <w:szCs w:val="28"/>
          <w:rtl/>
        </w:rPr>
        <w:t xml:space="preserve">وجود </w:t>
      </w:r>
      <w:r w:rsidR="009F492C" w:rsidRPr="00C15B38">
        <w:rPr>
          <w:rFonts w:asciiTheme="majorBidi" w:hAnsiTheme="majorBidi" w:hint="cs"/>
          <w:sz w:val="28"/>
          <w:szCs w:val="28"/>
          <w:rtl/>
        </w:rPr>
        <w:t>ارتفاع كبير في كل من الثقة بجودة عملية التعلم ومستوى الرضا عنها لديهم مقارنة بما هما عليه لدى</w:t>
      </w:r>
      <w:r w:rsidR="000C5468">
        <w:rPr>
          <w:rFonts w:asciiTheme="majorBidi" w:hAnsiTheme="majorBidi" w:hint="cs"/>
          <w:sz w:val="28"/>
          <w:szCs w:val="28"/>
          <w:rtl/>
        </w:rPr>
        <w:t xml:space="preserve"> طلبة</w:t>
      </w:r>
      <w:r w:rsidR="009F492C" w:rsidRPr="00C15B38">
        <w:rPr>
          <w:rFonts w:asciiTheme="majorBidi" w:hAnsiTheme="majorBidi" w:hint="cs"/>
          <w:sz w:val="28"/>
          <w:szCs w:val="28"/>
          <w:rtl/>
        </w:rPr>
        <w:t xml:space="preserve"> المجموعة الأولى.</w:t>
      </w:r>
    </w:p>
    <w:p w14:paraId="2DD9B999" w14:textId="454DDED4" w:rsidR="004D0A0C" w:rsidRPr="00C15B38" w:rsidRDefault="00156788" w:rsidP="004D0A0C">
      <w:pPr>
        <w:jc w:val="both"/>
        <w:rPr>
          <w:rFonts w:asciiTheme="majorBidi" w:hAnsiTheme="majorBidi"/>
          <w:sz w:val="28"/>
          <w:szCs w:val="28"/>
          <w:rtl/>
        </w:rPr>
      </w:pPr>
      <w:r w:rsidRPr="00C15B38">
        <w:rPr>
          <w:rFonts w:asciiTheme="majorBidi" w:hAnsiTheme="majorBidi"/>
          <w:sz w:val="28"/>
          <w:szCs w:val="28"/>
          <w:rtl/>
        </w:rPr>
        <w:tab/>
      </w:r>
      <w:r w:rsidR="00CB6067" w:rsidRPr="00C15B38">
        <w:rPr>
          <w:rFonts w:asciiTheme="majorBidi" w:hAnsiTheme="majorBidi" w:hint="cs"/>
          <w:sz w:val="28"/>
          <w:szCs w:val="28"/>
          <w:rtl/>
        </w:rPr>
        <w:t>كما أ</w:t>
      </w:r>
      <w:r w:rsidR="00732F70">
        <w:rPr>
          <w:rFonts w:asciiTheme="majorBidi" w:hAnsiTheme="majorBidi" w:hint="cs"/>
          <w:sz w:val="28"/>
          <w:szCs w:val="28"/>
          <w:rtl/>
        </w:rPr>
        <w:t>ُ</w:t>
      </w:r>
      <w:r w:rsidR="00CB6067" w:rsidRPr="00C15B38">
        <w:rPr>
          <w:rFonts w:asciiTheme="majorBidi" w:hAnsiTheme="majorBidi" w:hint="cs"/>
          <w:sz w:val="28"/>
          <w:szCs w:val="28"/>
          <w:rtl/>
        </w:rPr>
        <w:t>ج</w:t>
      </w:r>
      <w:r w:rsidR="00732F70">
        <w:rPr>
          <w:rFonts w:asciiTheme="majorBidi" w:hAnsiTheme="majorBidi" w:hint="cs"/>
          <w:sz w:val="28"/>
          <w:szCs w:val="28"/>
          <w:rtl/>
        </w:rPr>
        <w:t>ْرِ</w:t>
      </w:r>
      <w:r w:rsidR="00CB6067" w:rsidRPr="00C15B38">
        <w:rPr>
          <w:rFonts w:asciiTheme="majorBidi" w:hAnsiTheme="majorBidi" w:hint="cs"/>
          <w:sz w:val="28"/>
          <w:szCs w:val="28"/>
          <w:rtl/>
        </w:rPr>
        <w:t>ي</w:t>
      </w:r>
      <w:r w:rsidR="00732F70">
        <w:rPr>
          <w:rFonts w:asciiTheme="majorBidi" w:hAnsiTheme="majorBidi" w:hint="cs"/>
          <w:sz w:val="28"/>
          <w:szCs w:val="28"/>
          <w:rtl/>
        </w:rPr>
        <w:t>َ</w:t>
      </w:r>
      <w:r w:rsidR="00CB6067" w:rsidRPr="00C15B38">
        <w:rPr>
          <w:rFonts w:asciiTheme="majorBidi" w:hAnsiTheme="majorBidi" w:hint="cs"/>
          <w:sz w:val="28"/>
          <w:szCs w:val="28"/>
          <w:rtl/>
        </w:rPr>
        <w:t>ت</w:t>
      </w:r>
      <w:r w:rsidR="00732F70">
        <w:rPr>
          <w:rFonts w:asciiTheme="majorBidi" w:hAnsiTheme="majorBidi" w:hint="cs"/>
          <w:sz w:val="28"/>
          <w:szCs w:val="28"/>
          <w:rtl/>
        </w:rPr>
        <w:t>ْ</w:t>
      </w:r>
      <w:r w:rsidR="00CB6067" w:rsidRPr="00C15B38">
        <w:rPr>
          <w:rFonts w:asciiTheme="majorBidi" w:hAnsiTheme="majorBidi" w:hint="cs"/>
          <w:sz w:val="28"/>
          <w:szCs w:val="28"/>
          <w:rtl/>
        </w:rPr>
        <w:t xml:space="preserve"> عدد من الدراسات الوصفية في هذا الجانب، منها </w:t>
      </w:r>
      <w:r w:rsidR="004D0A0C" w:rsidRPr="00C15B38">
        <w:rPr>
          <w:rFonts w:asciiTheme="majorBidi" w:hAnsiTheme="majorBidi" w:hint="cs"/>
          <w:sz w:val="28"/>
          <w:szCs w:val="28"/>
          <w:rtl/>
        </w:rPr>
        <w:t xml:space="preserve">دراسة </w:t>
      </w:r>
      <w:r w:rsidR="007F482D">
        <w:rPr>
          <w:rFonts w:asciiTheme="majorBidi" w:hAnsiTheme="majorBidi" w:hint="cs"/>
          <w:sz w:val="28"/>
          <w:szCs w:val="28"/>
          <w:rtl/>
        </w:rPr>
        <w:t xml:space="preserve">شِاو وتشَو </w:t>
      </w:r>
      <w:r w:rsidR="004D0A0C" w:rsidRPr="00C15B38">
        <w:rPr>
          <w:sz w:val="24"/>
          <w:szCs w:val="24"/>
          <w:rtl/>
        </w:rPr>
        <w:t>(</w:t>
      </w:r>
      <w:r w:rsidR="004D0A0C" w:rsidRPr="00C15B38">
        <w:rPr>
          <w:sz w:val="24"/>
          <w:szCs w:val="24"/>
        </w:rPr>
        <w:t>Shiau &amp; Chau, 2016</w:t>
      </w:r>
      <w:r w:rsidR="004D0A0C" w:rsidRPr="00C15B38">
        <w:rPr>
          <w:sz w:val="24"/>
          <w:szCs w:val="24"/>
          <w:rtl/>
        </w:rPr>
        <w:t>)</w:t>
      </w:r>
      <w:r w:rsidR="004D0A0C" w:rsidRPr="00C15B38">
        <w:rPr>
          <w:rFonts w:asciiTheme="majorBidi" w:hAnsiTheme="majorBidi" w:hint="cs"/>
          <w:sz w:val="28"/>
          <w:szCs w:val="28"/>
          <w:rtl/>
        </w:rPr>
        <w:t xml:space="preserve"> التي هدفت إلى اختبار ومقارنة وتوحيد ست نظريات من نظريات النوايا السلوكية لمستخدمي التقنية وهي جودة الخدمة </w:t>
      </w:r>
      <w:r w:rsidR="004D0A0C" w:rsidRPr="00C15B38">
        <w:rPr>
          <w:sz w:val="24"/>
          <w:szCs w:val="24"/>
          <w:rtl/>
        </w:rPr>
        <w:t>(</w:t>
      </w:r>
      <w:r w:rsidR="004D0A0C" w:rsidRPr="00C15B38">
        <w:rPr>
          <w:sz w:val="24"/>
          <w:szCs w:val="24"/>
          <w:lang w:val="en-GB"/>
        </w:rPr>
        <w:t>SQ</w:t>
      </w:r>
      <w:r w:rsidR="004D0A0C" w:rsidRPr="00C15B38">
        <w:rPr>
          <w:sz w:val="24"/>
          <w:szCs w:val="24"/>
          <w:rtl/>
        </w:rPr>
        <w:t>)</w:t>
      </w:r>
      <w:r w:rsidR="004D0A0C" w:rsidRPr="00C15B38">
        <w:rPr>
          <w:rFonts w:asciiTheme="majorBidi" w:hAnsiTheme="majorBidi" w:hint="cs"/>
          <w:sz w:val="28"/>
          <w:szCs w:val="28"/>
          <w:rtl/>
        </w:rPr>
        <w:t xml:space="preserve">، والنموذج التحفيزي </w:t>
      </w:r>
      <w:r w:rsidR="004D0A0C" w:rsidRPr="00C15B38">
        <w:rPr>
          <w:sz w:val="24"/>
          <w:szCs w:val="24"/>
          <w:rtl/>
        </w:rPr>
        <w:t>(</w:t>
      </w:r>
      <w:r w:rsidR="004D0A0C" w:rsidRPr="00C15B38">
        <w:rPr>
          <w:sz w:val="24"/>
          <w:szCs w:val="24"/>
          <w:lang w:val="en-GB"/>
        </w:rPr>
        <w:t>MM</w:t>
      </w:r>
      <w:r w:rsidR="004D0A0C" w:rsidRPr="00C15B38">
        <w:rPr>
          <w:sz w:val="24"/>
          <w:szCs w:val="24"/>
          <w:rtl/>
        </w:rPr>
        <w:t>)</w:t>
      </w:r>
      <w:r w:rsidR="004D0A0C" w:rsidRPr="00C15B38">
        <w:rPr>
          <w:rFonts w:asciiTheme="majorBidi" w:hAnsiTheme="majorBidi" w:hint="cs"/>
          <w:sz w:val="28"/>
          <w:szCs w:val="28"/>
          <w:rtl/>
        </w:rPr>
        <w:t xml:space="preserve">، ونموذج قبول التقنية </w:t>
      </w:r>
      <w:r w:rsidR="004D0A0C" w:rsidRPr="00C15B38">
        <w:rPr>
          <w:sz w:val="24"/>
          <w:szCs w:val="24"/>
          <w:rtl/>
        </w:rPr>
        <w:t>(</w:t>
      </w:r>
      <w:r w:rsidR="004D0A0C" w:rsidRPr="00C15B38">
        <w:rPr>
          <w:sz w:val="24"/>
          <w:szCs w:val="24"/>
          <w:lang w:val="en-GB"/>
        </w:rPr>
        <w:t>TAM</w:t>
      </w:r>
      <w:r w:rsidR="004D0A0C" w:rsidRPr="00C15B38">
        <w:rPr>
          <w:sz w:val="24"/>
          <w:szCs w:val="24"/>
          <w:rtl/>
        </w:rPr>
        <w:t>)</w:t>
      </w:r>
      <w:r w:rsidR="004D0A0C" w:rsidRPr="00C15B38">
        <w:rPr>
          <w:rFonts w:asciiTheme="majorBidi" w:hAnsiTheme="majorBidi" w:hint="cs"/>
          <w:sz w:val="28"/>
          <w:szCs w:val="28"/>
          <w:rtl/>
        </w:rPr>
        <w:t xml:space="preserve">، ونظرية الفعل المنطقي أو نظرية السلوك المخطط </w:t>
      </w:r>
      <w:r w:rsidR="004D0A0C" w:rsidRPr="00C15B38">
        <w:rPr>
          <w:sz w:val="24"/>
          <w:szCs w:val="24"/>
          <w:rtl/>
        </w:rPr>
        <w:t>(</w:t>
      </w:r>
      <w:r w:rsidR="004D0A0C" w:rsidRPr="00C15B38">
        <w:rPr>
          <w:sz w:val="24"/>
          <w:szCs w:val="24"/>
        </w:rPr>
        <w:t>TRA\TPB</w:t>
      </w:r>
      <w:r w:rsidR="004D0A0C" w:rsidRPr="00C15B38">
        <w:rPr>
          <w:sz w:val="24"/>
          <w:szCs w:val="24"/>
          <w:rtl/>
        </w:rPr>
        <w:t>)</w:t>
      </w:r>
      <w:r w:rsidR="004D0A0C" w:rsidRPr="00C15B38">
        <w:rPr>
          <w:rFonts w:asciiTheme="majorBidi" w:hAnsiTheme="majorBidi" w:hint="cs"/>
          <w:sz w:val="28"/>
          <w:szCs w:val="28"/>
          <w:rtl/>
        </w:rPr>
        <w:t xml:space="preserve">، ونظرية انتشار الابتكار </w:t>
      </w:r>
      <w:r w:rsidR="004D0A0C" w:rsidRPr="00C15B38">
        <w:rPr>
          <w:sz w:val="24"/>
          <w:szCs w:val="24"/>
          <w:rtl/>
        </w:rPr>
        <w:t>(</w:t>
      </w:r>
      <w:r w:rsidR="004D0A0C" w:rsidRPr="00C15B38">
        <w:rPr>
          <w:sz w:val="24"/>
          <w:szCs w:val="24"/>
        </w:rPr>
        <w:t>IDT</w:t>
      </w:r>
      <w:r w:rsidR="004D0A0C" w:rsidRPr="00C15B38">
        <w:rPr>
          <w:sz w:val="24"/>
          <w:szCs w:val="24"/>
          <w:rtl/>
        </w:rPr>
        <w:t>)</w:t>
      </w:r>
      <w:r w:rsidR="004D0A0C" w:rsidRPr="00C15B38">
        <w:rPr>
          <w:rFonts w:asciiTheme="majorBidi" w:hAnsiTheme="majorBidi" w:hint="cs"/>
          <w:sz w:val="28"/>
          <w:szCs w:val="28"/>
          <w:rtl/>
        </w:rPr>
        <w:t xml:space="preserve"> وذلك في سياق الفصول الدراسية القائمة على الحوسبة السحابية. لتحقيق هذا الهدف اتبعت الدراسة المنهج الوصفي باستخدام الاستبانة الإلكترونية كأداة لجمع البيات. تكونت عينة الدراسة من (</w:t>
      </w:r>
      <w:r w:rsidR="004D0A0C" w:rsidRPr="00C15B38">
        <w:rPr>
          <w:rFonts w:asciiTheme="majorBidi" w:hAnsiTheme="majorBidi"/>
          <w:sz w:val="28"/>
          <w:szCs w:val="28"/>
          <w:rtl/>
        </w:rPr>
        <w:t>478</w:t>
      </w:r>
      <w:r w:rsidR="004D0A0C" w:rsidRPr="00C15B38">
        <w:rPr>
          <w:rFonts w:asciiTheme="majorBidi" w:hAnsiTheme="majorBidi" w:hint="cs"/>
          <w:sz w:val="28"/>
          <w:szCs w:val="28"/>
          <w:rtl/>
        </w:rPr>
        <w:t xml:space="preserve">) طالب وطالبة من طلبة إحدى الجامعات متوسطة الحجم بتايوان. وتوصلت الدراسة إلى أن لجميع النماذج النظرية قوة تفسيرية كافية، لكن جمعها بنموذج موحد قدم فهماً شاملاً للعوامل المؤثرة على نوايا الطلبة السلوكية تجاه الفصول الدراسية القائمة على الحوسبة السحابية. </w:t>
      </w:r>
    </w:p>
    <w:p w14:paraId="14B1FFA5" w14:textId="44407217" w:rsidR="004D0A0C" w:rsidRPr="00C15B38" w:rsidRDefault="004D0A0C" w:rsidP="004D0A0C">
      <w:pPr>
        <w:jc w:val="both"/>
        <w:rPr>
          <w:rFonts w:asciiTheme="majorBidi" w:hAnsiTheme="majorBidi"/>
          <w:sz w:val="28"/>
          <w:szCs w:val="28"/>
          <w:rtl/>
        </w:rPr>
      </w:pPr>
      <w:r w:rsidRPr="00C15B38">
        <w:rPr>
          <w:rFonts w:asciiTheme="majorBidi" w:hAnsiTheme="majorBidi"/>
          <w:sz w:val="28"/>
          <w:szCs w:val="28"/>
          <w:rtl/>
        </w:rPr>
        <w:tab/>
      </w:r>
      <w:r w:rsidRPr="00C15B38">
        <w:rPr>
          <w:rFonts w:asciiTheme="majorBidi" w:hAnsiTheme="majorBidi" w:hint="cs"/>
          <w:sz w:val="28"/>
          <w:szCs w:val="28"/>
          <w:rtl/>
        </w:rPr>
        <w:t xml:space="preserve">ودراسة </w:t>
      </w:r>
      <w:r w:rsidR="007F482D">
        <w:rPr>
          <w:rFonts w:asciiTheme="majorBidi" w:hAnsiTheme="majorBidi" w:hint="cs"/>
          <w:sz w:val="28"/>
          <w:szCs w:val="28"/>
          <w:rtl/>
        </w:rPr>
        <w:t xml:space="preserve">شهزاد </w:t>
      </w:r>
      <w:r w:rsidRPr="00C15B38">
        <w:rPr>
          <w:sz w:val="24"/>
          <w:szCs w:val="24"/>
          <w:rtl/>
        </w:rPr>
        <w:t>(</w:t>
      </w:r>
      <w:r w:rsidRPr="0010425C">
        <w:rPr>
          <w:sz w:val="24"/>
          <w:szCs w:val="24"/>
        </w:rPr>
        <w:t>Shahzad et al., 2020</w:t>
      </w:r>
      <w:r w:rsidRPr="00C15B38">
        <w:rPr>
          <w:sz w:val="24"/>
          <w:szCs w:val="24"/>
          <w:rtl/>
        </w:rPr>
        <w:t>)</w:t>
      </w:r>
      <w:r w:rsidRPr="00C15B38">
        <w:rPr>
          <w:rFonts w:asciiTheme="majorBidi" w:hAnsiTheme="majorBidi" w:hint="cs"/>
          <w:sz w:val="28"/>
          <w:szCs w:val="28"/>
          <w:rtl/>
        </w:rPr>
        <w:t xml:space="preserve"> وكان الهدف منها تحديد العوامل المؤثرة في تبني الحوسبة السحابية لتقديم المقررات الإلكترونية واسعة الانتشار </w:t>
      </w:r>
      <w:r w:rsidRPr="00C15B38">
        <w:rPr>
          <w:sz w:val="24"/>
          <w:szCs w:val="24"/>
          <w:rtl/>
        </w:rPr>
        <w:t>(</w:t>
      </w:r>
      <w:r w:rsidRPr="00C15B38">
        <w:rPr>
          <w:sz w:val="24"/>
          <w:szCs w:val="24"/>
          <w:lang w:val="en-GB"/>
        </w:rPr>
        <w:t>MOOCs</w:t>
      </w:r>
      <w:r w:rsidRPr="00C15B38">
        <w:rPr>
          <w:sz w:val="24"/>
          <w:szCs w:val="24"/>
          <w:rtl/>
        </w:rPr>
        <w:t>)</w:t>
      </w:r>
      <w:r w:rsidRPr="00C15B38">
        <w:rPr>
          <w:rFonts w:asciiTheme="majorBidi" w:hAnsiTheme="majorBidi" w:hint="cs"/>
          <w:sz w:val="28"/>
          <w:szCs w:val="28"/>
          <w:rtl/>
        </w:rPr>
        <w:t xml:space="preserve">، إضافة إلى تحديد كيفية توجيه الدوافع الداخلية للنوايا السلوكية الفردية. لتحقيق تلك الأهداف اتبعت الدراسة المنهج الوصفي باستخدام الاستبانة كأداة لجمع البيات. تكونت عينة الدراسة من (232) من الموظفين والموظفات الذين لديهم معرفة وخبرة بأنظمة الحوسبة السحابية المتعلقة بالمقررات الإلكترونية واسعة الانتشار على المستوى الجامعي الحكومي في </w:t>
      </w:r>
      <w:r w:rsidRPr="00C15B38">
        <w:rPr>
          <w:rFonts w:asciiTheme="majorBidi" w:hAnsiTheme="majorBidi" w:hint="cs"/>
          <w:sz w:val="28"/>
          <w:szCs w:val="28"/>
          <w:rtl/>
        </w:rPr>
        <w:lastRenderedPageBreak/>
        <w:t>باكستان. وتوصلت الدراسة إلى وجود علاقات معتبرة بين البُنى التقنية والتنظيمية والاتجاه نحو استخدام الحوسبة السحابية. بينما لم يتم تسجيل أي علاقة ما بين الضغوط التنافسية من البيئة والاتجاهات نحو استخدام الحوسبة السحابية. وقدمت الدراسة لواضعي السياسات طرق جديدة لاعتبارها عند تنفيذ المقررات الإلكترونية واسعة الانتشار في البلدان النامية باستخدام أنظمة الحوسبة السحابية.</w:t>
      </w:r>
    </w:p>
    <w:p w14:paraId="35A2271D" w14:textId="545D8E57" w:rsidR="00907198" w:rsidRPr="00C15B38" w:rsidRDefault="00156788" w:rsidP="00907198">
      <w:pPr>
        <w:jc w:val="both"/>
        <w:rPr>
          <w:rFonts w:asciiTheme="majorBidi" w:hAnsiTheme="majorBidi"/>
          <w:sz w:val="28"/>
          <w:szCs w:val="28"/>
          <w:rtl/>
        </w:rPr>
      </w:pPr>
      <w:r w:rsidRPr="00C15B38">
        <w:rPr>
          <w:rFonts w:asciiTheme="majorBidi" w:hAnsiTheme="majorBidi"/>
          <w:sz w:val="28"/>
          <w:szCs w:val="28"/>
          <w:rtl/>
        </w:rPr>
        <w:tab/>
      </w:r>
      <w:r w:rsidR="00907198" w:rsidRPr="00C15B38">
        <w:rPr>
          <w:rFonts w:asciiTheme="majorBidi" w:hAnsiTheme="majorBidi" w:hint="cs"/>
          <w:sz w:val="28"/>
          <w:szCs w:val="28"/>
          <w:rtl/>
        </w:rPr>
        <w:t>وتندرج تحت المنهج الوصفي الدراسات المسحية التي اهتمت باستخدام الحوسبة السحابية في المجال التعليمي، كدراسة</w:t>
      </w:r>
      <w:r w:rsidR="007F482D">
        <w:rPr>
          <w:rFonts w:asciiTheme="majorBidi" w:hAnsiTheme="majorBidi" w:hint="cs"/>
          <w:sz w:val="28"/>
          <w:szCs w:val="28"/>
          <w:rtl/>
        </w:rPr>
        <w:t xml:space="preserve"> سارود وبكال</w:t>
      </w:r>
      <w:r w:rsidR="00907198" w:rsidRPr="00C15B38">
        <w:rPr>
          <w:rFonts w:asciiTheme="majorBidi" w:hAnsiTheme="majorBidi" w:hint="cs"/>
          <w:sz w:val="28"/>
          <w:szCs w:val="28"/>
          <w:rtl/>
        </w:rPr>
        <w:t xml:space="preserve"> </w:t>
      </w:r>
      <w:r w:rsidR="00907198" w:rsidRPr="00C15B38">
        <w:rPr>
          <w:sz w:val="24"/>
          <w:szCs w:val="24"/>
          <w:rtl/>
        </w:rPr>
        <w:t>(</w:t>
      </w:r>
      <w:r w:rsidR="00907198" w:rsidRPr="00C15B38">
        <w:rPr>
          <w:sz w:val="24"/>
          <w:szCs w:val="24"/>
        </w:rPr>
        <w:t>Sarode &amp; Bakal, 2020</w:t>
      </w:r>
      <w:r w:rsidR="00907198" w:rsidRPr="00C15B38">
        <w:rPr>
          <w:sz w:val="24"/>
          <w:szCs w:val="24"/>
          <w:rtl/>
        </w:rPr>
        <w:t>)</w:t>
      </w:r>
      <w:r w:rsidR="00907198" w:rsidRPr="00C15B38">
        <w:rPr>
          <w:rFonts w:asciiTheme="majorBidi" w:hAnsiTheme="majorBidi" w:hint="cs"/>
          <w:sz w:val="28"/>
          <w:szCs w:val="28"/>
          <w:rtl/>
        </w:rPr>
        <w:t xml:space="preserve"> التي هدفت إلى دراسة ومراجعة </w:t>
      </w:r>
      <w:bookmarkStart w:id="0" w:name="_Hlk48353611"/>
      <w:r w:rsidR="00907198" w:rsidRPr="00C15B38">
        <w:rPr>
          <w:rFonts w:asciiTheme="majorBidi" w:hAnsiTheme="majorBidi" w:hint="cs"/>
          <w:sz w:val="28"/>
          <w:szCs w:val="28"/>
          <w:rtl/>
        </w:rPr>
        <w:t>أنظمة التعلم المتنقل القائمة على خدمات الحوسبة السحابية</w:t>
      </w:r>
      <w:bookmarkEnd w:id="0"/>
      <w:r w:rsidR="00907198" w:rsidRPr="00C15B38">
        <w:rPr>
          <w:rFonts w:asciiTheme="majorBidi" w:hAnsiTheme="majorBidi" w:hint="cs"/>
          <w:sz w:val="28"/>
          <w:szCs w:val="28"/>
          <w:rtl/>
        </w:rPr>
        <w:t xml:space="preserve"> المختلفة، ومن ثم استكشاف أفضل الممارسات التي تنفذها الجامعات على المستوى العالمي. راجع الباحثان (27) دراسة طُبقت في بلدان مختلفة، وذكرا أن التعلم المتنقل باستخدام أدوات الحوسبة السحابية يدعم كل من التعلم الشخصي، والذاتي، والتعاوني. كما أنه يقدم للطلبة ساعات تعلم مرنة، ويساعدهم على حل المشكلات واتخاذ القرار واكتساب قدر كبير من المعرفة. كما أورد الباحثان أن من أهم التحديات التي تواجه استخدام أنظمة التعلم المتنقل القائمة على خدمات الحوسبة السحابية تلك المتعلقة بجوانب الخصوصية، وعدم توافق بعض التطبيقات مع أنظمة التشغيل المختلفة، وتوافر الاتصال بالشبكة ومدى سرعته. إضافة إلى تعرض المتعلم للعبء المعرفي وفقدان الاهتمام في حال غزارة المحتوى التعليمي، فضلاً عن الارتباك وصعوبة اختيار </w:t>
      </w:r>
      <w:r w:rsidR="0004251A">
        <w:rPr>
          <w:rFonts w:asciiTheme="majorBidi" w:hAnsiTheme="majorBidi" w:hint="cs"/>
          <w:sz w:val="28"/>
          <w:szCs w:val="28"/>
          <w:rtl/>
        </w:rPr>
        <w:t>المتعلمين لل</w:t>
      </w:r>
      <w:r w:rsidR="00907198" w:rsidRPr="00C15B38">
        <w:rPr>
          <w:rFonts w:asciiTheme="majorBidi" w:hAnsiTheme="majorBidi" w:hint="cs"/>
          <w:sz w:val="28"/>
          <w:szCs w:val="28"/>
          <w:rtl/>
        </w:rPr>
        <w:t xml:space="preserve">مقرر </w:t>
      </w:r>
      <w:r w:rsidR="0004251A">
        <w:rPr>
          <w:rFonts w:asciiTheme="majorBidi" w:hAnsiTheme="majorBidi" w:hint="cs"/>
          <w:sz w:val="28"/>
          <w:szCs w:val="28"/>
          <w:rtl/>
        </w:rPr>
        <w:t>ال</w:t>
      </w:r>
      <w:r w:rsidR="00907198" w:rsidRPr="00C15B38">
        <w:rPr>
          <w:rFonts w:asciiTheme="majorBidi" w:hAnsiTheme="majorBidi" w:hint="cs"/>
          <w:sz w:val="28"/>
          <w:szCs w:val="28"/>
          <w:rtl/>
        </w:rPr>
        <w:t>تعليمي بأنفسهم عند وجود الآلاف من البيانات ومئات المقررات المتاحة.</w:t>
      </w:r>
    </w:p>
    <w:p w14:paraId="23E71E62" w14:textId="091EA096" w:rsidR="00907198" w:rsidRPr="00C15B38" w:rsidRDefault="00156788" w:rsidP="00907198">
      <w:pPr>
        <w:jc w:val="both"/>
        <w:rPr>
          <w:rFonts w:asciiTheme="majorBidi" w:hAnsiTheme="majorBidi"/>
          <w:sz w:val="28"/>
          <w:szCs w:val="28"/>
          <w:rtl/>
        </w:rPr>
      </w:pPr>
      <w:r w:rsidRPr="00C15B38">
        <w:rPr>
          <w:rFonts w:asciiTheme="majorBidi" w:hAnsiTheme="majorBidi"/>
          <w:sz w:val="28"/>
          <w:szCs w:val="28"/>
          <w:rtl/>
        </w:rPr>
        <w:tab/>
      </w:r>
      <w:r w:rsidR="00907198" w:rsidRPr="00C15B38">
        <w:rPr>
          <w:rFonts w:asciiTheme="majorBidi" w:hAnsiTheme="majorBidi" w:hint="cs"/>
          <w:sz w:val="28"/>
          <w:szCs w:val="28"/>
          <w:rtl/>
        </w:rPr>
        <w:t>ومنها أيضاً دراسة</w:t>
      </w:r>
      <w:r w:rsidR="00683BBB">
        <w:rPr>
          <w:rFonts w:asciiTheme="majorBidi" w:hAnsiTheme="majorBidi" w:hint="cs"/>
          <w:sz w:val="28"/>
          <w:szCs w:val="28"/>
          <w:rtl/>
        </w:rPr>
        <w:t xml:space="preserve"> السامرائي وسعيد</w:t>
      </w:r>
      <w:r w:rsidR="00907198" w:rsidRPr="00C15B38">
        <w:rPr>
          <w:rFonts w:asciiTheme="majorBidi" w:hAnsiTheme="majorBidi" w:hint="cs"/>
          <w:sz w:val="28"/>
          <w:szCs w:val="28"/>
          <w:rtl/>
        </w:rPr>
        <w:t xml:space="preserve"> </w:t>
      </w:r>
      <w:bookmarkStart w:id="1" w:name="_Hlk48627810"/>
      <w:r w:rsidR="00907198" w:rsidRPr="00C15B38">
        <w:rPr>
          <w:sz w:val="24"/>
          <w:szCs w:val="24"/>
          <w:rtl/>
        </w:rPr>
        <w:t>(</w:t>
      </w:r>
      <w:r w:rsidR="00907198" w:rsidRPr="00C15B38">
        <w:rPr>
          <w:sz w:val="24"/>
          <w:szCs w:val="24"/>
        </w:rPr>
        <w:t>Al-Samarraie &amp; Saeed, 2018</w:t>
      </w:r>
      <w:r w:rsidR="00907198" w:rsidRPr="00C15B38">
        <w:rPr>
          <w:sz w:val="24"/>
          <w:szCs w:val="24"/>
          <w:rtl/>
        </w:rPr>
        <w:t>)</w:t>
      </w:r>
      <w:bookmarkEnd w:id="1"/>
      <w:r w:rsidR="00907198" w:rsidRPr="00C15B38">
        <w:rPr>
          <w:rFonts w:asciiTheme="majorBidi" w:hAnsiTheme="majorBidi" w:hint="cs"/>
          <w:sz w:val="28"/>
          <w:szCs w:val="28"/>
          <w:rtl/>
        </w:rPr>
        <w:t xml:space="preserve"> إذ قام </w:t>
      </w:r>
      <w:r w:rsidR="00DE6E63" w:rsidRPr="00C15B38">
        <w:rPr>
          <w:rFonts w:asciiTheme="majorBidi" w:hAnsiTheme="majorBidi" w:hint="cs"/>
          <w:sz w:val="28"/>
          <w:szCs w:val="28"/>
          <w:rtl/>
        </w:rPr>
        <w:t>الباحثان</w:t>
      </w:r>
      <w:r w:rsidR="00907198" w:rsidRPr="00C15B38">
        <w:rPr>
          <w:rFonts w:asciiTheme="majorBidi" w:hAnsiTheme="majorBidi" w:hint="cs"/>
          <w:sz w:val="28"/>
          <w:szCs w:val="28"/>
          <w:rtl/>
        </w:rPr>
        <w:t xml:space="preserve"> بإجراء دراسة مسحية لتحديد </w:t>
      </w:r>
      <w:r w:rsidR="007301BD">
        <w:rPr>
          <w:rFonts w:asciiTheme="majorBidi" w:hAnsiTheme="majorBidi" w:hint="cs"/>
          <w:sz w:val="28"/>
          <w:szCs w:val="28"/>
          <w:rtl/>
        </w:rPr>
        <w:t>إمكانيات</w:t>
      </w:r>
      <w:r w:rsidR="00907198" w:rsidRPr="00C15B38">
        <w:rPr>
          <w:rFonts w:asciiTheme="majorBidi" w:hAnsiTheme="majorBidi" w:hint="cs"/>
          <w:sz w:val="28"/>
          <w:szCs w:val="28"/>
          <w:rtl/>
        </w:rPr>
        <w:t xml:space="preserve"> وتحديات استخدام الحوسبة السحابية في بيئة التعلم المدمج. </w:t>
      </w:r>
      <w:r w:rsidR="00DE6E63" w:rsidRPr="00C15B38">
        <w:rPr>
          <w:rFonts w:asciiTheme="majorBidi" w:hAnsiTheme="majorBidi" w:hint="cs"/>
          <w:sz w:val="28"/>
          <w:szCs w:val="28"/>
          <w:rtl/>
        </w:rPr>
        <w:t>ف</w:t>
      </w:r>
      <w:r w:rsidR="00907198" w:rsidRPr="00C15B38">
        <w:rPr>
          <w:rFonts w:asciiTheme="majorBidi" w:hAnsiTheme="majorBidi" w:hint="cs"/>
          <w:sz w:val="28"/>
          <w:szCs w:val="28"/>
          <w:rtl/>
        </w:rPr>
        <w:t>استرجع</w:t>
      </w:r>
      <w:r w:rsidR="00DE6E63" w:rsidRPr="00C15B38">
        <w:rPr>
          <w:rFonts w:asciiTheme="majorBidi" w:hAnsiTheme="majorBidi" w:hint="cs"/>
          <w:sz w:val="28"/>
          <w:szCs w:val="28"/>
          <w:rtl/>
        </w:rPr>
        <w:t>ا</w:t>
      </w:r>
      <w:r w:rsidR="00907198" w:rsidRPr="00C15B38">
        <w:rPr>
          <w:rFonts w:asciiTheme="majorBidi" w:hAnsiTheme="majorBidi" w:hint="cs"/>
          <w:sz w:val="28"/>
          <w:szCs w:val="28"/>
          <w:rtl/>
        </w:rPr>
        <w:t xml:space="preserve"> الدراسات التي تتناول دور الحوسبة السحابية في التعليم </w:t>
      </w:r>
      <w:r w:rsidR="00907198" w:rsidRPr="00C15B38">
        <w:rPr>
          <w:rFonts w:asciiTheme="majorBidi" w:hAnsiTheme="majorBidi" w:hint="cs"/>
          <w:sz w:val="28"/>
          <w:szCs w:val="28"/>
          <w:rtl/>
        </w:rPr>
        <w:lastRenderedPageBreak/>
        <w:t xml:space="preserve">العالي، وذلك من قواعد البيانات: </w:t>
      </w:r>
      <w:r w:rsidR="00907198" w:rsidRPr="00C15B38">
        <w:rPr>
          <w:sz w:val="24"/>
          <w:szCs w:val="24"/>
          <w:rtl/>
        </w:rPr>
        <w:t>(</w:t>
      </w:r>
      <w:r w:rsidR="00907198" w:rsidRPr="00C15B38">
        <w:rPr>
          <w:sz w:val="24"/>
          <w:szCs w:val="24"/>
        </w:rPr>
        <w:t>Cambridge Journals Online, Index to Theses, Oxford University Press (journals), Science Direct, ERIC "Education Resources Information Centre", Emerald, Taylor and Francis Group, and IEEE "Institute of Electrical and Electronics Engineers"</w:t>
      </w:r>
      <w:r w:rsidR="00907198" w:rsidRPr="00C15B38">
        <w:rPr>
          <w:sz w:val="24"/>
          <w:szCs w:val="24"/>
          <w:rtl/>
        </w:rPr>
        <w:t>)</w:t>
      </w:r>
      <w:r w:rsidR="00907198" w:rsidRPr="00C15B38">
        <w:rPr>
          <w:rFonts w:asciiTheme="majorBidi" w:hAnsiTheme="majorBidi" w:hint="cs"/>
          <w:sz w:val="28"/>
          <w:szCs w:val="28"/>
          <w:rtl/>
        </w:rPr>
        <w:t>، وفق عدد من المعايير: أن تكون الدراسة تجريبية، وتستخدم الحوسبة السحابية للتعلم التعاوني، وتركز على أنشطة تعاونية محددة أو متعددة، وأن تكون طُبقت على الطلبة الجامعيين. اتبع الباحثان إطار "ترانفِيلد ودَنير وسمارت" لإجراء المراجعة المنهجية، وبعد الفحص والتقييم تكونت العينة من (29) دراسة منها أطروحت</w:t>
      </w:r>
      <w:r w:rsidR="001420A1">
        <w:rPr>
          <w:rFonts w:asciiTheme="majorBidi" w:hAnsiTheme="majorBidi" w:hint="cs"/>
          <w:sz w:val="28"/>
          <w:szCs w:val="28"/>
          <w:rtl/>
        </w:rPr>
        <w:t>ي</w:t>
      </w:r>
      <w:r w:rsidR="00907198" w:rsidRPr="00C15B38">
        <w:rPr>
          <w:rFonts w:asciiTheme="majorBidi" w:hAnsiTheme="majorBidi" w:hint="cs"/>
          <w:sz w:val="28"/>
          <w:szCs w:val="28"/>
          <w:rtl/>
        </w:rPr>
        <w:t>ن علميت</w:t>
      </w:r>
      <w:r w:rsidR="001420A1">
        <w:rPr>
          <w:rFonts w:asciiTheme="majorBidi" w:hAnsiTheme="majorBidi" w:hint="cs"/>
          <w:sz w:val="28"/>
          <w:szCs w:val="28"/>
          <w:rtl/>
        </w:rPr>
        <w:t>ي</w:t>
      </w:r>
      <w:r w:rsidR="00907198" w:rsidRPr="00C15B38">
        <w:rPr>
          <w:rFonts w:asciiTheme="majorBidi" w:hAnsiTheme="majorBidi" w:hint="cs"/>
          <w:sz w:val="28"/>
          <w:szCs w:val="28"/>
          <w:rtl/>
        </w:rPr>
        <w:t xml:space="preserve">ن. أجريت هذه الدراسات في فترات مختلفة خلال المدة من العام (2009م) حتى عام (2017م). وتوصل الباحثان إلى تحديد عدد من </w:t>
      </w:r>
      <w:r w:rsidR="007301BD">
        <w:rPr>
          <w:rFonts w:asciiTheme="majorBidi" w:hAnsiTheme="majorBidi" w:hint="cs"/>
          <w:sz w:val="28"/>
          <w:szCs w:val="28"/>
          <w:rtl/>
        </w:rPr>
        <w:t>الإمكانيات</w:t>
      </w:r>
      <w:r w:rsidR="00907198" w:rsidRPr="00C15B38">
        <w:rPr>
          <w:rFonts w:asciiTheme="majorBidi" w:hAnsiTheme="majorBidi" w:hint="cs"/>
          <w:sz w:val="28"/>
          <w:szCs w:val="28"/>
          <w:rtl/>
        </w:rPr>
        <w:t xml:space="preserve"> التي تقدمها بعض أدوات الحوسبة السحابية المستخدمة في التعليم التعاوني لطلبة المرحلة الجامعية، والتحديات التي تواجه استخدامها. وفي الجدول الآتي بيان لتلك النتائج:</w:t>
      </w:r>
    </w:p>
    <w:p w14:paraId="5CE2B3D5" w14:textId="77777777" w:rsidR="00BA4830" w:rsidRDefault="00BA4830" w:rsidP="00D13445">
      <w:pPr>
        <w:jc w:val="both"/>
        <w:rPr>
          <w:rFonts w:asciiTheme="majorBidi" w:hAnsiTheme="majorBidi"/>
          <w:sz w:val="32"/>
          <w:szCs w:val="32"/>
          <w:rtl/>
        </w:rPr>
      </w:pPr>
    </w:p>
    <w:p w14:paraId="2B809FDF" w14:textId="0019CE3F" w:rsidR="00BA4830" w:rsidRDefault="00BA4830" w:rsidP="00D13445">
      <w:pPr>
        <w:jc w:val="both"/>
        <w:rPr>
          <w:rFonts w:asciiTheme="majorBidi" w:hAnsiTheme="majorBidi"/>
          <w:sz w:val="32"/>
          <w:szCs w:val="32"/>
          <w:rtl/>
        </w:rPr>
        <w:sectPr w:rsidR="00BA4830" w:rsidSect="00383715">
          <w:footerReference w:type="first" r:id="rId7"/>
          <w:pgSz w:w="9639" w:h="13608"/>
          <w:pgMar w:top="1134" w:right="1134" w:bottom="1134" w:left="1134" w:header="709" w:footer="146" w:gutter="340"/>
          <w:pgBorders w:offsetFrom="page">
            <w:top w:val="single" w:sz="4" w:space="24" w:color="auto"/>
            <w:left w:val="single" w:sz="4" w:space="24" w:color="auto"/>
            <w:bottom w:val="single" w:sz="4" w:space="24" w:color="auto"/>
            <w:right w:val="single" w:sz="4" w:space="24" w:color="auto"/>
          </w:pgBorders>
          <w:cols w:space="708"/>
          <w:vAlign w:val="center"/>
          <w:titlePg/>
          <w:bidi/>
          <w:rtlGutter/>
          <w:docGrid w:linePitch="360"/>
        </w:sectPr>
      </w:pPr>
    </w:p>
    <w:tbl>
      <w:tblPr>
        <w:tblStyle w:val="10"/>
        <w:bidiVisual/>
        <w:tblW w:w="0" w:type="auto"/>
        <w:jc w:val="center"/>
        <w:tblLayout w:type="fixed"/>
        <w:tblLook w:val="04A0" w:firstRow="1" w:lastRow="0" w:firstColumn="1" w:lastColumn="0" w:noHBand="0" w:noVBand="1"/>
      </w:tblPr>
      <w:tblGrid>
        <w:gridCol w:w="509"/>
        <w:gridCol w:w="2693"/>
        <w:gridCol w:w="4962"/>
        <w:gridCol w:w="2826"/>
      </w:tblGrid>
      <w:tr w:rsidR="0041390C" w:rsidRPr="00B324BB" w14:paraId="2C7EEBD8" w14:textId="77777777" w:rsidTr="00DA7CC6">
        <w:trPr>
          <w:trHeight w:val="361"/>
          <w:tblHeader/>
          <w:jc w:val="center"/>
        </w:trPr>
        <w:tc>
          <w:tcPr>
            <w:tcW w:w="509" w:type="dxa"/>
            <w:tcBorders>
              <w:top w:val="single" w:sz="4" w:space="0" w:color="FFFFFF" w:themeColor="background1"/>
              <w:left w:val="single" w:sz="4" w:space="0" w:color="FFFFFF" w:themeColor="background1"/>
            </w:tcBorders>
            <w:vAlign w:val="center"/>
          </w:tcPr>
          <w:p w14:paraId="73287618" w14:textId="77777777" w:rsidR="00DE6E63" w:rsidRPr="00DE6E63" w:rsidRDefault="00DE6E63" w:rsidP="00DE6E63">
            <w:pPr>
              <w:jc w:val="center"/>
              <w:rPr>
                <w:rFonts w:ascii="Calibri" w:eastAsia="Calibri" w:hAnsi="Calibri"/>
                <w:b/>
                <w:bCs/>
                <w:sz w:val="18"/>
                <w:szCs w:val="18"/>
                <w:rtl/>
              </w:rPr>
            </w:pPr>
          </w:p>
        </w:tc>
        <w:tc>
          <w:tcPr>
            <w:tcW w:w="2693" w:type="dxa"/>
            <w:shd w:val="clear" w:color="auto" w:fill="FFE599" w:themeFill="accent4" w:themeFillTint="66"/>
            <w:vAlign w:val="center"/>
          </w:tcPr>
          <w:p w14:paraId="72477E43" w14:textId="77777777" w:rsidR="00DE6E63" w:rsidRPr="00DE6E63" w:rsidRDefault="00DE6E63" w:rsidP="00DE6E63">
            <w:pPr>
              <w:jc w:val="center"/>
              <w:rPr>
                <w:rFonts w:ascii="Calibri" w:eastAsia="Calibri" w:hAnsi="Calibri"/>
                <w:b/>
                <w:bCs/>
                <w:sz w:val="24"/>
                <w:szCs w:val="24"/>
                <w:rtl/>
              </w:rPr>
            </w:pPr>
            <w:r w:rsidRPr="00DE6E63">
              <w:rPr>
                <w:rFonts w:ascii="Calibri" w:eastAsia="Calibri" w:hAnsi="Calibri" w:hint="cs"/>
                <w:b/>
                <w:bCs/>
                <w:sz w:val="24"/>
                <w:szCs w:val="24"/>
                <w:rtl/>
              </w:rPr>
              <w:t>وسائل التواصل الاجتماعي</w:t>
            </w:r>
          </w:p>
        </w:tc>
        <w:tc>
          <w:tcPr>
            <w:tcW w:w="4962" w:type="dxa"/>
            <w:shd w:val="clear" w:color="auto" w:fill="FFE599" w:themeFill="accent4" w:themeFillTint="66"/>
            <w:vAlign w:val="center"/>
          </w:tcPr>
          <w:p w14:paraId="3BC3C0CF" w14:textId="77777777" w:rsidR="00DE6E63" w:rsidRPr="00DE6E63" w:rsidRDefault="00DE6E63" w:rsidP="00DE6E63">
            <w:pPr>
              <w:jc w:val="center"/>
              <w:rPr>
                <w:rFonts w:ascii="Calibri" w:eastAsia="Calibri" w:hAnsi="Calibri"/>
                <w:b/>
                <w:bCs/>
                <w:sz w:val="24"/>
                <w:szCs w:val="24"/>
                <w:rtl/>
              </w:rPr>
            </w:pPr>
            <w:r w:rsidRPr="00DE6E63">
              <w:rPr>
                <w:rFonts w:ascii="Calibri" w:eastAsia="Calibri" w:hAnsi="Calibri" w:hint="cs"/>
                <w:b/>
                <w:bCs/>
                <w:sz w:val="24"/>
                <w:szCs w:val="24"/>
                <w:rtl/>
              </w:rPr>
              <w:t>أدوات التعلم المتزامن</w:t>
            </w:r>
          </w:p>
        </w:tc>
        <w:tc>
          <w:tcPr>
            <w:tcW w:w="2826" w:type="dxa"/>
            <w:shd w:val="clear" w:color="auto" w:fill="FFE599" w:themeFill="accent4" w:themeFillTint="66"/>
            <w:vAlign w:val="center"/>
          </w:tcPr>
          <w:p w14:paraId="5FC89166" w14:textId="77777777" w:rsidR="00DE6E63" w:rsidRPr="00DE6E63" w:rsidRDefault="00DE6E63" w:rsidP="00DE6E63">
            <w:pPr>
              <w:jc w:val="center"/>
              <w:rPr>
                <w:rFonts w:ascii="Calibri" w:eastAsia="Calibri" w:hAnsi="Calibri"/>
                <w:b/>
                <w:bCs/>
                <w:sz w:val="24"/>
                <w:szCs w:val="24"/>
                <w:rtl/>
              </w:rPr>
            </w:pPr>
            <w:r w:rsidRPr="00DE6E63">
              <w:rPr>
                <w:rFonts w:ascii="Calibri" w:eastAsia="Calibri" w:hAnsi="Calibri" w:hint="cs"/>
                <w:b/>
                <w:bCs/>
                <w:sz w:val="24"/>
                <w:szCs w:val="24"/>
                <w:rtl/>
              </w:rPr>
              <w:t>أنظمة إدارة التعلم</w:t>
            </w:r>
          </w:p>
        </w:tc>
      </w:tr>
      <w:tr w:rsidR="0041390C" w:rsidRPr="00B324BB" w14:paraId="076C068D" w14:textId="77777777" w:rsidTr="00DA7CC6">
        <w:trPr>
          <w:cantSplit/>
          <w:trHeight w:val="1134"/>
          <w:jc w:val="center"/>
        </w:trPr>
        <w:tc>
          <w:tcPr>
            <w:tcW w:w="509" w:type="dxa"/>
            <w:shd w:val="clear" w:color="auto" w:fill="FFF2CC" w:themeFill="accent4" w:themeFillTint="33"/>
            <w:textDirection w:val="btLr"/>
            <w:vAlign w:val="center"/>
          </w:tcPr>
          <w:p w14:paraId="1C2A85A1" w14:textId="3AAF39AB" w:rsidR="00DE6E63" w:rsidRPr="00DE6E63" w:rsidRDefault="007301BD" w:rsidP="00DE6E63">
            <w:pPr>
              <w:ind w:left="113" w:right="113"/>
              <w:jc w:val="center"/>
              <w:rPr>
                <w:rFonts w:ascii="Calibri" w:eastAsia="Calibri" w:hAnsi="Calibri"/>
                <w:b/>
                <w:bCs/>
                <w:sz w:val="24"/>
                <w:szCs w:val="24"/>
                <w:rtl/>
              </w:rPr>
            </w:pPr>
            <w:r>
              <w:rPr>
                <w:rFonts w:ascii="Calibri" w:eastAsia="Calibri" w:hAnsi="Calibri" w:hint="cs"/>
                <w:b/>
                <w:bCs/>
                <w:sz w:val="24"/>
                <w:szCs w:val="24"/>
                <w:rtl/>
              </w:rPr>
              <w:t>الإمكانيات</w:t>
            </w:r>
            <w:r w:rsidR="00DE6E63" w:rsidRPr="00B324BB">
              <w:rPr>
                <w:rFonts w:ascii="Calibri" w:eastAsia="Calibri" w:hAnsi="Calibri" w:hint="cs"/>
                <w:b/>
                <w:bCs/>
                <w:sz w:val="24"/>
                <w:szCs w:val="24"/>
                <w:rtl/>
              </w:rPr>
              <w:t xml:space="preserve"> </w:t>
            </w:r>
          </w:p>
        </w:tc>
        <w:tc>
          <w:tcPr>
            <w:tcW w:w="2693" w:type="dxa"/>
            <w:vAlign w:val="center"/>
          </w:tcPr>
          <w:p w14:paraId="265521E5"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تعطي إحساساً بملكية عملية التعلم.</w:t>
            </w:r>
          </w:p>
          <w:p w14:paraId="2B020EB5"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السماح للطلاب بمراجعة الأسئلة مع الزملاء.</w:t>
            </w:r>
          </w:p>
          <w:p w14:paraId="08FAF84B"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تقليل الالتباس والغموض في الفصول الدراسية.</w:t>
            </w:r>
          </w:p>
          <w:p w14:paraId="1F14141D"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دعم تنمية الكفاءة.</w:t>
            </w:r>
          </w:p>
          <w:p w14:paraId="60545F38" w14:textId="5DE3EFD6" w:rsidR="00DE6E63" w:rsidRPr="00DE6E63" w:rsidRDefault="00DE6E63" w:rsidP="00DA7CC6">
            <w:pPr>
              <w:numPr>
                <w:ilvl w:val="0"/>
                <w:numId w:val="6"/>
              </w:numPr>
              <w:spacing w:line="276" w:lineRule="auto"/>
              <w:ind w:left="138" w:hanging="138"/>
              <w:contextualSpacing/>
              <w:jc w:val="both"/>
              <w:rPr>
                <w:rFonts w:ascii="Calibri" w:eastAsia="Calibri" w:hAnsi="Calibri"/>
                <w:b/>
                <w:bCs/>
                <w:sz w:val="18"/>
                <w:szCs w:val="18"/>
                <w:rtl/>
              </w:rPr>
            </w:pPr>
            <w:r w:rsidRPr="00DA7CC6">
              <w:rPr>
                <w:rFonts w:ascii="Calibri" w:eastAsia="Calibri" w:hAnsi="Calibri" w:hint="cs"/>
                <w:b/>
                <w:bCs/>
                <w:sz w:val="20"/>
                <w:szCs w:val="20"/>
                <w:rtl/>
              </w:rPr>
              <w:t xml:space="preserve">تشجيع كل من: المحتوى الذكي </w:t>
            </w:r>
            <w:r w:rsidR="00CB1788">
              <w:rPr>
                <w:rFonts w:ascii="Calibri" w:eastAsia="Calibri" w:hAnsi="Calibri" w:hint="cs"/>
                <w:b/>
                <w:bCs/>
                <w:sz w:val="20"/>
                <w:szCs w:val="20"/>
                <w:rtl/>
              </w:rPr>
              <w:t>الفوري</w:t>
            </w:r>
            <w:r w:rsidRPr="00DA7CC6">
              <w:rPr>
                <w:rFonts w:ascii="Calibri" w:eastAsia="Calibri" w:hAnsi="Calibri" w:hint="cs"/>
                <w:b/>
                <w:bCs/>
                <w:sz w:val="20"/>
                <w:szCs w:val="20"/>
                <w:rtl/>
              </w:rPr>
              <w:t>، والعلاقات الاجتماعية، والتفاعل الاجتماعي التعاوني والمتعدد، والتفكر الاجتماعي وحل المشكلات الاجتماعية.</w:t>
            </w:r>
          </w:p>
        </w:tc>
        <w:tc>
          <w:tcPr>
            <w:tcW w:w="4962" w:type="dxa"/>
            <w:vAlign w:val="center"/>
          </w:tcPr>
          <w:p w14:paraId="1FD5DA83"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توفير الوقت المستَغْرَق في إرسال رسائل البريد الإلكتروني ومراجعتها وحفظها والرد عليها...إلخ.</w:t>
            </w:r>
          </w:p>
          <w:p w14:paraId="6A2C8E08"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تمكين عدة مستخدمين من تحرير مستند واحد في الوقت ذاته أو بشكل غير متزامن.</w:t>
            </w:r>
          </w:p>
          <w:p w14:paraId="4A51BCD2"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السماح للطلاب بإنشاء نماذج مخصصة لإدخال البيانات بأقل قدر من التدريب، مع تحديد حالة التعديلات وتمييزها.</w:t>
            </w:r>
          </w:p>
          <w:p w14:paraId="3CC59E0E"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أسلوب قوي للتعليم، إذ يدعم البنائية والتعلم التعاوني كخلفية نظرية.</w:t>
            </w:r>
          </w:p>
          <w:p w14:paraId="044D49CB"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زيادة كفاءة نشر المعلومات، وتقديم وسائل عملية لتغيير الممارسات.</w:t>
            </w:r>
          </w:p>
          <w:p w14:paraId="2414A7E5" w14:textId="4E009D8E"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 xml:space="preserve">يقدم تفاعل ثري يساعد الطلاب على نقل بعض الأفكار </w:t>
            </w:r>
            <w:r w:rsidR="00F85BCD">
              <w:rPr>
                <w:rFonts w:ascii="Calibri" w:eastAsia="Calibri" w:hAnsi="Calibri" w:hint="cs"/>
                <w:b/>
                <w:bCs/>
                <w:sz w:val="20"/>
                <w:szCs w:val="20"/>
                <w:rtl/>
              </w:rPr>
              <w:t xml:space="preserve">إلى </w:t>
            </w:r>
            <w:r w:rsidRPr="00DA7CC6">
              <w:rPr>
                <w:rFonts w:ascii="Calibri" w:eastAsia="Calibri" w:hAnsi="Calibri" w:hint="cs"/>
                <w:b/>
                <w:bCs/>
                <w:sz w:val="20"/>
                <w:szCs w:val="20"/>
                <w:rtl/>
              </w:rPr>
              <w:t>حيز التنفيذ.</w:t>
            </w:r>
          </w:p>
          <w:p w14:paraId="4779CA0B"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تحفيز التفكير الترابطي والحل الإبداعي للمشكلات.</w:t>
            </w:r>
          </w:p>
          <w:p w14:paraId="2648D746"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تيسير ودعم الإعداد الجماعي التفاعلي للمستندات والملفات.</w:t>
            </w:r>
          </w:p>
          <w:p w14:paraId="537752A6"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تقليل تكلفة توافر المعامل المتخصصة لدعم التعاون بين أعضاء المجموعة.</w:t>
            </w:r>
          </w:p>
          <w:p w14:paraId="23AA8951"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عرض التطور النحوي والدلالي والبنيوي للمستند التعاوني بمرور الوقت.</w:t>
            </w:r>
          </w:p>
          <w:p w14:paraId="6062A830"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تزويد الطلاب بتغذية راجعة فورية.</w:t>
            </w:r>
          </w:p>
          <w:p w14:paraId="43DB2961"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دعم تنمية الكفاءة.</w:t>
            </w:r>
          </w:p>
          <w:p w14:paraId="49CF5650" w14:textId="77777777" w:rsidR="00DE6E63" w:rsidRPr="00DE6E63" w:rsidRDefault="00DE6E63" w:rsidP="00DA7CC6">
            <w:pPr>
              <w:numPr>
                <w:ilvl w:val="0"/>
                <w:numId w:val="6"/>
              </w:numPr>
              <w:spacing w:line="276" w:lineRule="auto"/>
              <w:ind w:left="138" w:hanging="138"/>
              <w:contextualSpacing/>
              <w:jc w:val="both"/>
              <w:rPr>
                <w:rFonts w:ascii="Calibri" w:eastAsia="Calibri" w:hAnsi="Calibri"/>
                <w:b/>
                <w:bCs/>
                <w:sz w:val="18"/>
                <w:szCs w:val="18"/>
                <w:rtl/>
              </w:rPr>
            </w:pPr>
            <w:r w:rsidRPr="00DA7CC6">
              <w:rPr>
                <w:rFonts w:ascii="Calibri" w:eastAsia="Calibri" w:hAnsi="Calibri" w:hint="cs"/>
                <w:b/>
                <w:bCs/>
                <w:sz w:val="20"/>
                <w:szCs w:val="20"/>
                <w:rtl/>
              </w:rPr>
              <w:t>تشجع توليد وتطوير بدائل لحل المشكلات المعقدة.</w:t>
            </w:r>
          </w:p>
        </w:tc>
        <w:tc>
          <w:tcPr>
            <w:tcW w:w="2826" w:type="dxa"/>
            <w:vAlign w:val="center"/>
          </w:tcPr>
          <w:p w14:paraId="322F205E"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المساعدة في عرض الأمثلة بطريقة جيدة التنظيم.</w:t>
            </w:r>
          </w:p>
          <w:p w14:paraId="54F97FCD"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تسهيل المناقشة العميقة ما بين الطلاب.</w:t>
            </w:r>
          </w:p>
          <w:p w14:paraId="02A8CA85"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السماح بتحويل تصميم المقرر من الاقتصار على الأنشطة الفردية إلى التعاونية.</w:t>
            </w:r>
          </w:p>
          <w:p w14:paraId="206E0B23"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المساعدة في ترسيخ ثقافة الثقة ضمن الفريق.</w:t>
            </w:r>
          </w:p>
          <w:p w14:paraId="38AE07BF" w14:textId="77777777" w:rsidR="00DE6E63" w:rsidRPr="00DE6E63" w:rsidRDefault="00DE6E63" w:rsidP="00DA7CC6">
            <w:pPr>
              <w:numPr>
                <w:ilvl w:val="0"/>
                <w:numId w:val="6"/>
              </w:numPr>
              <w:spacing w:line="276" w:lineRule="auto"/>
              <w:ind w:left="138" w:hanging="138"/>
              <w:contextualSpacing/>
              <w:jc w:val="both"/>
              <w:rPr>
                <w:rFonts w:ascii="Calibri" w:eastAsia="Calibri" w:hAnsi="Calibri"/>
                <w:b/>
                <w:bCs/>
                <w:sz w:val="18"/>
                <w:szCs w:val="18"/>
                <w:rtl/>
              </w:rPr>
            </w:pPr>
            <w:r w:rsidRPr="00DA7CC6">
              <w:rPr>
                <w:rFonts w:ascii="Calibri" w:eastAsia="Calibri" w:hAnsi="Calibri" w:hint="cs"/>
                <w:b/>
                <w:bCs/>
                <w:sz w:val="20"/>
                <w:szCs w:val="20"/>
                <w:rtl/>
              </w:rPr>
              <w:t>السماح للطلاب بالاحتفاظ بسجلات من أعمالهم التعاونية.</w:t>
            </w:r>
          </w:p>
        </w:tc>
      </w:tr>
      <w:tr w:rsidR="0041390C" w:rsidRPr="00B324BB" w14:paraId="208816DF" w14:textId="77777777" w:rsidTr="00DA7CC6">
        <w:trPr>
          <w:cantSplit/>
          <w:trHeight w:val="6515"/>
          <w:jc w:val="center"/>
        </w:trPr>
        <w:tc>
          <w:tcPr>
            <w:tcW w:w="509" w:type="dxa"/>
            <w:shd w:val="clear" w:color="auto" w:fill="FFF2CC" w:themeFill="accent4" w:themeFillTint="33"/>
            <w:textDirection w:val="btLr"/>
            <w:vAlign w:val="center"/>
          </w:tcPr>
          <w:p w14:paraId="564412BB" w14:textId="2E075C15" w:rsidR="00DE6E63" w:rsidRPr="00DE6E63" w:rsidRDefault="00DE6E63" w:rsidP="00DA7CC6">
            <w:pPr>
              <w:ind w:left="113" w:right="113"/>
              <w:jc w:val="center"/>
              <w:rPr>
                <w:rFonts w:ascii="Calibri" w:eastAsia="Calibri" w:hAnsi="Calibri"/>
                <w:b/>
                <w:bCs/>
                <w:sz w:val="24"/>
                <w:szCs w:val="24"/>
                <w:rtl/>
              </w:rPr>
            </w:pPr>
            <w:r w:rsidRPr="00B324BB">
              <w:rPr>
                <w:rFonts w:ascii="Calibri" w:eastAsia="Calibri" w:hAnsi="Calibri" w:hint="cs"/>
                <w:b/>
                <w:bCs/>
                <w:sz w:val="24"/>
                <w:szCs w:val="24"/>
                <w:rtl/>
              </w:rPr>
              <w:lastRenderedPageBreak/>
              <w:t>التــحــــديــات</w:t>
            </w:r>
          </w:p>
        </w:tc>
        <w:tc>
          <w:tcPr>
            <w:tcW w:w="2693" w:type="dxa"/>
            <w:vAlign w:val="center"/>
          </w:tcPr>
          <w:p w14:paraId="0C8F8307"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قد يحتاج الطلاب إلى مزيداً من الوقت لبناء الثقة وتجربة خطوة الإنتاج الإبداعي.</w:t>
            </w:r>
          </w:p>
          <w:p w14:paraId="78A25704"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فقدان الثقة بين أعضاء المجموعة.</w:t>
            </w:r>
          </w:p>
          <w:p w14:paraId="06F12C7E"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عدم وجود مبادئ تربوية فعالة.</w:t>
            </w:r>
          </w:p>
          <w:p w14:paraId="6D4490F2"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المشكلات المتعلقة بالاتصال.</w:t>
            </w:r>
          </w:p>
          <w:p w14:paraId="7A799670" w14:textId="77777777" w:rsidR="00DE6E63" w:rsidRPr="00DE6E63" w:rsidRDefault="00DE6E63" w:rsidP="00DA7CC6">
            <w:pPr>
              <w:numPr>
                <w:ilvl w:val="0"/>
                <w:numId w:val="6"/>
              </w:numPr>
              <w:spacing w:line="276" w:lineRule="auto"/>
              <w:ind w:left="138" w:hanging="138"/>
              <w:contextualSpacing/>
              <w:jc w:val="both"/>
              <w:rPr>
                <w:rFonts w:ascii="Calibri" w:eastAsia="Calibri" w:hAnsi="Calibri"/>
                <w:b/>
                <w:bCs/>
                <w:sz w:val="18"/>
                <w:szCs w:val="18"/>
                <w:rtl/>
              </w:rPr>
            </w:pPr>
            <w:r w:rsidRPr="00DA7CC6">
              <w:rPr>
                <w:rFonts w:ascii="Calibri" w:eastAsia="Calibri" w:hAnsi="Calibri" w:hint="cs"/>
                <w:b/>
                <w:bCs/>
                <w:sz w:val="20"/>
                <w:szCs w:val="20"/>
                <w:rtl/>
              </w:rPr>
              <w:t>التعلم عن الأخرين قد يصرف انتباه الطلاب عن التعلم.</w:t>
            </w:r>
          </w:p>
        </w:tc>
        <w:tc>
          <w:tcPr>
            <w:tcW w:w="4962" w:type="dxa"/>
            <w:vAlign w:val="center"/>
          </w:tcPr>
          <w:p w14:paraId="258D30B7"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مؤسسات التعليم العالي مطالبة بتغيير ثقافتها التعليمية.</w:t>
            </w:r>
          </w:p>
          <w:p w14:paraId="349290DB"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الخوف من التغييرات غير المرغوب فيها بين أعضاء المجموعة.</w:t>
            </w:r>
          </w:p>
          <w:p w14:paraId="75CBFA1F"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عدم القدرة على الوصول إلى المستند في حالة عدم توافر الاتصال بالإنترنت.</w:t>
            </w:r>
          </w:p>
          <w:p w14:paraId="2D476BED"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الطلاب مطالبون بتعلم كيفية استخدام البرنامج.</w:t>
            </w:r>
          </w:p>
          <w:p w14:paraId="280435E5"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فنيو الكمبيوتر مطالبون بتعلم بنية السحابة.</w:t>
            </w:r>
          </w:p>
          <w:p w14:paraId="44946104"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من الصعب إقناع أعضاء هيئة التدريس والطلاب المشغولون بأخذ الوقت الكافي لتعلم إجراء جديد.</w:t>
            </w:r>
          </w:p>
          <w:p w14:paraId="0B5AB398"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من الصعب تتبع مساهمات أعضاء كل مجموعة.</w:t>
            </w:r>
          </w:p>
          <w:p w14:paraId="31A8793B"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عدم توافق تنسيق المستند مع بعض تطبيقات معالجة النصوص القائمة على الويب.</w:t>
            </w:r>
          </w:p>
          <w:p w14:paraId="273F89F4"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من اللازم توافر أجهزة وبرامج كافية.</w:t>
            </w:r>
          </w:p>
          <w:p w14:paraId="4B9C0DFC"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قد لا تكون اللغة التقنية المستخدمة مألوفة لدى الطلاب.</w:t>
            </w:r>
          </w:p>
          <w:p w14:paraId="3CD16D2A"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قد تُنشأ ضغوط اجتماعية من قبل أعضاء المجموعة.</w:t>
            </w:r>
          </w:p>
          <w:p w14:paraId="4955BE52" w14:textId="77777777" w:rsidR="00DE6E63" w:rsidRPr="00DE6E63" w:rsidRDefault="00DE6E63" w:rsidP="00DA7CC6">
            <w:pPr>
              <w:numPr>
                <w:ilvl w:val="0"/>
                <w:numId w:val="6"/>
              </w:numPr>
              <w:spacing w:line="276" w:lineRule="auto"/>
              <w:ind w:left="138" w:hanging="138"/>
              <w:contextualSpacing/>
              <w:jc w:val="both"/>
              <w:rPr>
                <w:rFonts w:ascii="Calibri" w:eastAsia="Calibri" w:hAnsi="Calibri"/>
                <w:b/>
                <w:bCs/>
                <w:sz w:val="18"/>
                <w:szCs w:val="18"/>
                <w:rtl/>
              </w:rPr>
            </w:pPr>
            <w:r w:rsidRPr="00DA7CC6">
              <w:rPr>
                <w:rFonts w:ascii="Calibri" w:eastAsia="Calibri" w:hAnsi="Calibri" w:hint="cs"/>
                <w:b/>
                <w:bCs/>
                <w:sz w:val="20"/>
                <w:szCs w:val="20"/>
                <w:rtl/>
              </w:rPr>
              <w:t>يمكن أن يؤدي الالتزام بمعدل تعلم المجموعة أو مستوى المناقشة إلى الإضرار بالطموحات، ويؤدي ببعض الطلاب إلى الامتناع عن إبداء الآراء أو التعبير عن وجهات النظر.</w:t>
            </w:r>
          </w:p>
        </w:tc>
        <w:tc>
          <w:tcPr>
            <w:tcW w:w="2826" w:type="dxa"/>
            <w:vAlign w:val="center"/>
          </w:tcPr>
          <w:p w14:paraId="7973365D"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صعوبة إتقان التقنية.</w:t>
            </w:r>
          </w:p>
          <w:p w14:paraId="53F9812D"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صعوبة إدارة الأفكار المختلفة.</w:t>
            </w:r>
          </w:p>
          <w:p w14:paraId="25DD6AB3" w14:textId="77777777" w:rsidR="00DE6E63" w:rsidRPr="00DA7CC6" w:rsidRDefault="00DE6E63" w:rsidP="00DA7CC6">
            <w:pPr>
              <w:numPr>
                <w:ilvl w:val="0"/>
                <w:numId w:val="6"/>
              </w:numPr>
              <w:spacing w:line="276" w:lineRule="auto"/>
              <w:ind w:left="138" w:hanging="138"/>
              <w:contextualSpacing/>
              <w:jc w:val="both"/>
              <w:rPr>
                <w:rFonts w:ascii="Calibri" w:eastAsia="Calibri" w:hAnsi="Calibri"/>
                <w:b/>
                <w:bCs/>
                <w:sz w:val="20"/>
                <w:szCs w:val="20"/>
              </w:rPr>
            </w:pPr>
            <w:r w:rsidRPr="00DA7CC6">
              <w:rPr>
                <w:rFonts w:ascii="Calibri" w:eastAsia="Calibri" w:hAnsi="Calibri" w:hint="cs"/>
                <w:b/>
                <w:bCs/>
                <w:sz w:val="20"/>
                <w:szCs w:val="20"/>
                <w:rtl/>
              </w:rPr>
              <w:t>قد يؤدي تلقي إجابات مختلفة إلى حدوث التشوش والارتباك.</w:t>
            </w:r>
          </w:p>
          <w:p w14:paraId="3A531637" w14:textId="77777777" w:rsidR="00DE6E63" w:rsidRPr="00DE6E63" w:rsidRDefault="00DE6E63" w:rsidP="005F6B91">
            <w:pPr>
              <w:keepNext/>
              <w:numPr>
                <w:ilvl w:val="0"/>
                <w:numId w:val="6"/>
              </w:numPr>
              <w:spacing w:line="276" w:lineRule="auto"/>
              <w:ind w:left="138" w:hanging="138"/>
              <w:contextualSpacing/>
              <w:jc w:val="both"/>
              <w:rPr>
                <w:rFonts w:ascii="Calibri" w:eastAsia="Calibri" w:hAnsi="Calibri"/>
                <w:b/>
                <w:bCs/>
                <w:sz w:val="18"/>
                <w:szCs w:val="18"/>
                <w:rtl/>
              </w:rPr>
            </w:pPr>
            <w:r w:rsidRPr="00DA7CC6">
              <w:rPr>
                <w:rFonts w:ascii="Calibri" w:eastAsia="Calibri" w:hAnsi="Calibri" w:hint="cs"/>
                <w:b/>
                <w:bCs/>
                <w:sz w:val="20"/>
                <w:szCs w:val="20"/>
                <w:rtl/>
              </w:rPr>
              <w:t>محدودية خيارات الوظائف والتصميم.</w:t>
            </w:r>
          </w:p>
        </w:tc>
      </w:tr>
    </w:tbl>
    <w:p w14:paraId="47DDB326" w14:textId="2599873D" w:rsidR="00DE6E63" w:rsidRPr="005F6B91" w:rsidRDefault="005F6B91" w:rsidP="005F6B91">
      <w:pPr>
        <w:pStyle w:val="a7"/>
        <w:jc w:val="center"/>
        <w:rPr>
          <w:rFonts w:asciiTheme="majorBidi" w:hAnsiTheme="majorBidi"/>
          <w:b/>
          <w:bCs/>
          <w:i w:val="0"/>
          <w:iCs w:val="0"/>
          <w:sz w:val="32"/>
          <w:szCs w:val="32"/>
          <w:rtl/>
        </w:rPr>
        <w:sectPr w:rsidR="00DE6E63" w:rsidRPr="005F6B91" w:rsidSect="00DE6E63">
          <w:pgSz w:w="13608" w:h="9639" w:orient="landscape"/>
          <w:pgMar w:top="1134" w:right="1134" w:bottom="1134" w:left="1134" w:header="709" w:footer="147" w:gutter="340"/>
          <w:pgBorders w:offsetFrom="page">
            <w:top w:val="single" w:sz="4" w:space="24" w:color="auto"/>
            <w:left w:val="single" w:sz="4" w:space="24" w:color="auto"/>
            <w:bottom w:val="single" w:sz="4" w:space="24" w:color="auto"/>
            <w:right w:val="single" w:sz="4" w:space="24" w:color="auto"/>
          </w:pgBorders>
          <w:cols w:space="708"/>
          <w:vAlign w:val="center"/>
          <w:titlePg/>
          <w:bidi/>
          <w:rtlGutter/>
          <w:docGrid w:linePitch="360"/>
        </w:sectPr>
      </w:pPr>
      <w:r w:rsidRPr="005F6B91">
        <w:rPr>
          <w:rFonts w:hint="cs"/>
          <w:b/>
          <w:bCs/>
          <w:i w:val="0"/>
          <w:iCs w:val="0"/>
          <w:rtl/>
        </w:rPr>
        <w:t>جدول (</w:t>
      </w:r>
      <w:r w:rsidRPr="005F6B91">
        <w:rPr>
          <w:b/>
          <w:bCs/>
          <w:i w:val="0"/>
          <w:iCs w:val="0"/>
          <w:rtl/>
        </w:rPr>
        <w:fldChar w:fldCharType="begin"/>
      </w:r>
      <w:r w:rsidRPr="005F6B91">
        <w:rPr>
          <w:b/>
          <w:bCs/>
          <w:i w:val="0"/>
          <w:iCs w:val="0"/>
          <w:rtl/>
        </w:rPr>
        <w:instrText xml:space="preserve"> </w:instrText>
      </w:r>
      <w:r w:rsidRPr="005F6B91">
        <w:rPr>
          <w:b/>
          <w:bCs/>
          <w:i w:val="0"/>
          <w:iCs w:val="0"/>
        </w:rPr>
        <w:instrText>SEQ</w:instrText>
      </w:r>
      <w:r w:rsidRPr="005F6B91">
        <w:rPr>
          <w:b/>
          <w:bCs/>
          <w:i w:val="0"/>
          <w:iCs w:val="0"/>
          <w:rtl/>
        </w:rPr>
        <w:instrText xml:space="preserve"> جدول \* </w:instrText>
      </w:r>
      <w:r w:rsidRPr="005F6B91">
        <w:rPr>
          <w:b/>
          <w:bCs/>
          <w:i w:val="0"/>
          <w:iCs w:val="0"/>
        </w:rPr>
        <w:instrText>ARABIC</w:instrText>
      </w:r>
      <w:r w:rsidRPr="005F6B91">
        <w:rPr>
          <w:b/>
          <w:bCs/>
          <w:i w:val="0"/>
          <w:iCs w:val="0"/>
          <w:rtl/>
        </w:rPr>
        <w:instrText xml:space="preserve"> </w:instrText>
      </w:r>
      <w:r w:rsidRPr="005F6B91">
        <w:rPr>
          <w:b/>
          <w:bCs/>
          <w:i w:val="0"/>
          <w:iCs w:val="0"/>
          <w:rtl/>
        </w:rPr>
        <w:fldChar w:fldCharType="separate"/>
      </w:r>
      <w:r w:rsidR="00A0507F">
        <w:rPr>
          <w:b/>
          <w:bCs/>
          <w:i w:val="0"/>
          <w:iCs w:val="0"/>
          <w:noProof/>
          <w:rtl/>
        </w:rPr>
        <w:t>1</w:t>
      </w:r>
      <w:r w:rsidRPr="005F6B91">
        <w:rPr>
          <w:b/>
          <w:bCs/>
          <w:i w:val="0"/>
          <w:iCs w:val="0"/>
          <w:rtl/>
        </w:rPr>
        <w:fldChar w:fldCharType="end"/>
      </w:r>
      <w:r w:rsidRPr="005F6B91">
        <w:rPr>
          <w:rFonts w:hint="cs"/>
          <w:b/>
          <w:bCs/>
          <w:i w:val="0"/>
          <w:iCs w:val="0"/>
          <w:rtl/>
        </w:rPr>
        <w:t xml:space="preserve">) </w:t>
      </w:r>
      <w:r w:rsidR="007301BD">
        <w:rPr>
          <w:rFonts w:hint="cs"/>
          <w:b/>
          <w:bCs/>
          <w:i w:val="0"/>
          <w:iCs w:val="0"/>
          <w:rtl/>
        </w:rPr>
        <w:t>إمكانيات</w:t>
      </w:r>
      <w:r w:rsidRPr="005F6B91">
        <w:rPr>
          <w:rFonts w:hint="cs"/>
          <w:b/>
          <w:bCs/>
          <w:i w:val="0"/>
          <w:iCs w:val="0"/>
          <w:rtl/>
        </w:rPr>
        <w:t xml:space="preserve"> وتحديات استخدام بعض أدوات التعلم التعاوني القائمة على الحوسبة السحابية </w:t>
      </w:r>
      <w:r w:rsidRPr="005F6B91">
        <w:rPr>
          <w:rFonts w:hint="cs"/>
          <w:b/>
          <w:bCs/>
          <w:i w:val="0"/>
          <w:iCs w:val="0"/>
          <w:sz w:val="16"/>
          <w:szCs w:val="16"/>
          <w:rtl/>
        </w:rPr>
        <w:t>(</w:t>
      </w:r>
      <w:r w:rsidRPr="005F6B91">
        <w:rPr>
          <w:b/>
          <w:bCs/>
          <w:i w:val="0"/>
          <w:iCs w:val="0"/>
          <w:sz w:val="16"/>
          <w:szCs w:val="16"/>
        </w:rPr>
        <w:t>Al-Samarraie &amp; Saeed, 2018</w:t>
      </w:r>
      <w:r w:rsidRPr="005F6B91">
        <w:rPr>
          <w:rFonts w:hint="cs"/>
          <w:b/>
          <w:bCs/>
          <w:i w:val="0"/>
          <w:iCs w:val="0"/>
          <w:sz w:val="16"/>
          <w:szCs w:val="16"/>
          <w:rtl/>
        </w:rPr>
        <w:t>)</w:t>
      </w:r>
      <w:r w:rsidRPr="005F6B91">
        <w:rPr>
          <w:rFonts w:hint="cs"/>
          <w:b/>
          <w:bCs/>
          <w:i w:val="0"/>
          <w:iCs w:val="0"/>
          <w:rtl/>
        </w:rPr>
        <w:t xml:space="preserve"> </w:t>
      </w:r>
    </w:p>
    <w:p w14:paraId="0A8E625B" w14:textId="7131544B" w:rsidR="000D0A78" w:rsidRPr="00C15B38" w:rsidRDefault="00156788" w:rsidP="00160458">
      <w:pPr>
        <w:jc w:val="both"/>
        <w:rPr>
          <w:rFonts w:asciiTheme="majorBidi" w:hAnsiTheme="majorBidi"/>
          <w:sz w:val="28"/>
          <w:szCs w:val="28"/>
        </w:rPr>
      </w:pPr>
      <w:r>
        <w:rPr>
          <w:rFonts w:asciiTheme="majorBidi" w:hAnsiTheme="majorBidi"/>
          <w:sz w:val="32"/>
          <w:szCs w:val="32"/>
          <w:rtl/>
        </w:rPr>
        <w:lastRenderedPageBreak/>
        <w:tab/>
      </w:r>
      <w:r w:rsidR="000D0A78" w:rsidRPr="00C15B38">
        <w:rPr>
          <w:rFonts w:asciiTheme="majorBidi" w:hAnsiTheme="majorBidi" w:hint="cs"/>
          <w:sz w:val="28"/>
          <w:szCs w:val="28"/>
          <w:rtl/>
        </w:rPr>
        <w:t>إضافة إلى دراسة</w:t>
      </w:r>
      <w:r w:rsidR="00F65F36">
        <w:rPr>
          <w:rFonts w:asciiTheme="majorBidi" w:hAnsiTheme="majorBidi" w:hint="cs"/>
          <w:sz w:val="28"/>
          <w:szCs w:val="28"/>
          <w:rtl/>
        </w:rPr>
        <w:t xml:space="preserve"> </w:t>
      </w:r>
      <w:r w:rsidR="00C80A7C">
        <w:rPr>
          <w:rFonts w:asciiTheme="majorBidi" w:hAnsiTheme="majorBidi" w:hint="cs"/>
          <w:sz w:val="28"/>
          <w:szCs w:val="28"/>
          <w:rtl/>
        </w:rPr>
        <w:t>هارتمَن وآخرين</w:t>
      </w:r>
      <w:r w:rsidR="000D0A78" w:rsidRPr="00C15B38">
        <w:rPr>
          <w:rFonts w:asciiTheme="majorBidi" w:hAnsiTheme="majorBidi" w:hint="cs"/>
          <w:sz w:val="28"/>
          <w:szCs w:val="28"/>
          <w:rtl/>
        </w:rPr>
        <w:t xml:space="preserve"> </w:t>
      </w:r>
      <w:bookmarkStart w:id="2" w:name="_Hlk48439714"/>
      <w:r w:rsidR="000D0A78" w:rsidRPr="00C15B38">
        <w:rPr>
          <w:sz w:val="24"/>
          <w:szCs w:val="24"/>
          <w:rtl/>
        </w:rPr>
        <w:t>(</w:t>
      </w:r>
      <w:r w:rsidR="000D0A78" w:rsidRPr="00C15B38">
        <w:rPr>
          <w:sz w:val="24"/>
          <w:szCs w:val="24"/>
        </w:rPr>
        <w:t xml:space="preserve">Hartmann, </w:t>
      </w:r>
      <w:r w:rsidR="008B7674">
        <w:rPr>
          <w:sz w:val="24"/>
          <w:szCs w:val="24"/>
        </w:rPr>
        <w:t>et al.</w:t>
      </w:r>
      <w:r w:rsidR="000D0A78" w:rsidRPr="00C15B38">
        <w:rPr>
          <w:sz w:val="24"/>
          <w:szCs w:val="24"/>
        </w:rPr>
        <w:t>, 2017</w:t>
      </w:r>
      <w:r w:rsidR="000D0A78" w:rsidRPr="00C15B38">
        <w:rPr>
          <w:sz w:val="24"/>
          <w:szCs w:val="24"/>
          <w:rtl/>
        </w:rPr>
        <w:t>)</w:t>
      </w:r>
      <w:bookmarkEnd w:id="2"/>
      <w:r w:rsidR="000D0A78" w:rsidRPr="00C15B38">
        <w:rPr>
          <w:rFonts w:asciiTheme="majorBidi" w:hAnsiTheme="majorBidi" w:hint="cs"/>
          <w:sz w:val="28"/>
          <w:szCs w:val="28"/>
          <w:rtl/>
        </w:rPr>
        <w:t xml:space="preserve"> وكان الهدف منها الكشف عن وتقديم لمحة عامة حول إمكانيات ومعوقات استخدام الحوسبة السحابية في التعليم. استرجع الباحثون ما مجموعه (510) دراسة من قواعد البيانات: </w:t>
      </w:r>
      <w:r w:rsidR="000D0A78" w:rsidRPr="00C15B38">
        <w:rPr>
          <w:sz w:val="24"/>
          <w:szCs w:val="24"/>
          <w:rtl/>
        </w:rPr>
        <w:t>(</w:t>
      </w:r>
      <w:r w:rsidR="000D0A78" w:rsidRPr="00C15B38">
        <w:rPr>
          <w:sz w:val="24"/>
          <w:szCs w:val="24"/>
        </w:rPr>
        <w:t>ERIC, IEEE Xplore, Science Direct, Primo</w:t>
      </w:r>
      <w:r w:rsidR="000D0A78" w:rsidRPr="00C15B38">
        <w:rPr>
          <w:sz w:val="24"/>
          <w:szCs w:val="24"/>
          <w:rtl/>
        </w:rPr>
        <w:t>)</w:t>
      </w:r>
      <w:r w:rsidR="000D0A78" w:rsidRPr="00C15B38">
        <w:rPr>
          <w:rFonts w:asciiTheme="majorBidi" w:hAnsiTheme="majorBidi" w:hint="cs"/>
          <w:sz w:val="28"/>
          <w:szCs w:val="28"/>
          <w:rtl/>
        </w:rPr>
        <w:t xml:space="preserve">. وبعد الفحص والتدقيق تكونت عينة الدراسة من (13) دراسة أجريت في بلدان وأعوام مختلفة تنحصر في المدة من (2010م) إلى (2014م)، وتركز على استخدام الحوسبة السحابية في التعليم. حُللت تلك الدراسات باتباع أسلوب التحليل النوعي البعدي. لترميز البيانات وضع الباحثون (31) موضوعاً محورياً مصنفة في خمس فئات هي العولمة، والفوائد التربوية، والفوائد الإدارية، والمعوقات، والتنفيذ. وتوصل الباحثون إلى عدد من إمكانيات الحوسبة السحابية في المجال التعليمي؛ فمن منظور عالمي، تساهم الحوسبة السحابية بنقل التعليم والتعلم إلى عدد كبير من السكان، مما يحقق نمواً اقتصادياً ويرفع المستوى المعيشي لسكان المناطق ذات الاقتصاد المنخفض. ومحلياً، وُجد أن الحوسبة السحابية تعزز تعاون الطلاب فيما بينهم، وهو ما يؤدي إلى تنمية الدافعية لديهم، ويزيد من تحملهم </w:t>
      </w:r>
      <w:r w:rsidR="00B46C2D">
        <w:rPr>
          <w:rFonts w:asciiTheme="majorBidi" w:hAnsiTheme="majorBidi" w:hint="cs"/>
          <w:sz w:val="28"/>
          <w:szCs w:val="28"/>
          <w:rtl/>
        </w:rPr>
        <w:t>ا</w:t>
      </w:r>
      <w:r w:rsidR="000D0A78" w:rsidRPr="00C15B38">
        <w:rPr>
          <w:rFonts w:asciiTheme="majorBidi" w:hAnsiTheme="majorBidi" w:hint="cs"/>
          <w:sz w:val="28"/>
          <w:szCs w:val="28"/>
          <w:rtl/>
        </w:rPr>
        <w:t xml:space="preserve">لمسؤولية والتزامهم تجاه مجتمعاتهم. كما أن المرونة </w:t>
      </w:r>
      <w:r w:rsidR="0064585B" w:rsidRPr="0064585B">
        <w:rPr>
          <w:rFonts w:asciiTheme="majorBidi" w:hAnsiTheme="majorBidi" w:hint="cs"/>
          <w:sz w:val="28"/>
          <w:szCs w:val="28"/>
          <w:rtl/>
        </w:rPr>
        <w:t xml:space="preserve">الزمنية </w:t>
      </w:r>
      <w:r w:rsidR="0064585B">
        <w:rPr>
          <w:rFonts w:asciiTheme="majorBidi" w:hAnsiTheme="majorBidi" w:hint="cs"/>
          <w:sz w:val="28"/>
          <w:szCs w:val="28"/>
          <w:rtl/>
        </w:rPr>
        <w:t>و</w:t>
      </w:r>
      <w:r w:rsidR="000D0A78" w:rsidRPr="00C15B38">
        <w:rPr>
          <w:rFonts w:asciiTheme="majorBidi" w:hAnsiTheme="majorBidi" w:hint="cs"/>
          <w:sz w:val="28"/>
          <w:szCs w:val="28"/>
          <w:rtl/>
        </w:rPr>
        <w:t>المكانية لخدمات الحوسبة السحابية تساعد على تحقيق التعليم والتعلم والتعاون في أي وقت ومن أي مكان. إضافة للقدرة التخزينية العالية التي تتغلب على مشكلات فقدان البيانات أو عدم إمكانية الوصول إليها، مما ي</w:t>
      </w:r>
      <w:r w:rsidR="00160458">
        <w:rPr>
          <w:rFonts w:asciiTheme="majorBidi" w:hAnsiTheme="majorBidi" w:hint="cs"/>
          <w:sz w:val="28"/>
          <w:szCs w:val="28"/>
          <w:rtl/>
        </w:rPr>
        <w:t>تيح</w:t>
      </w:r>
      <w:r w:rsidR="000D0A78" w:rsidRPr="00C15B38">
        <w:rPr>
          <w:rFonts w:asciiTheme="majorBidi" w:hAnsiTheme="majorBidi" w:hint="cs"/>
          <w:sz w:val="28"/>
          <w:szCs w:val="28"/>
          <w:rtl/>
        </w:rPr>
        <w:t xml:space="preserve"> </w:t>
      </w:r>
      <w:r w:rsidR="00160458">
        <w:rPr>
          <w:rFonts w:asciiTheme="majorBidi" w:hAnsiTheme="majorBidi" w:hint="cs"/>
          <w:sz w:val="28"/>
          <w:szCs w:val="28"/>
          <w:rtl/>
        </w:rPr>
        <w:t>ل</w:t>
      </w:r>
      <w:r w:rsidR="000D0A78" w:rsidRPr="00C15B38">
        <w:rPr>
          <w:rFonts w:asciiTheme="majorBidi" w:hAnsiTheme="majorBidi" w:hint="cs"/>
          <w:sz w:val="28"/>
          <w:szCs w:val="28"/>
          <w:rtl/>
        </w:rPr>
        <w:t xml:space="preserve">لمعلمين والطلاب إنشاء ملفات </w:t>
      </w:r>
      <w:r w:rsidR="00160458">
        <w:rPr>
          <w:rFonts w:asciiTheme="majorBidi" w:hAnsiTheme="majorBidi" w:hint="cs"/>
          <w:sz w:val="28"/>
          <w:szCs w:val="28"/>
          <w:rtl/>
        </w:rPr>
        <w:t>ال</w:t>
      </w:r>
      <w:r w:rsidR="000D0A78" w:rsidRPr="00C15B38">
        <w:rPr>
          <w:rFonts w:asciiTheme="majorBidi" w:hAnsiTheme="majorBidi" w:hint="cs"/>
          <w:sz w:val="28"/>
          <w:szCs w:val="28"/>
          <w:rtl/>
        </w:rPr>
        <w:t>إنجاز</w:t>
      </w:r>
      <w:r w:rsidR="00160458">
        <w:rPr>
          <w:rFonts w:asciiTheme="majorBidi" w:hAnsiTheme="majorBidi" w:hint="cs"/>
          <w:sz w:val="28"/>
          <w:szCs w:val="28"/>
          <w:rtl/>
        </w:rPr>
        <w:t>ات</w:t>
      </w:r>
      <w:r w:rsidR="000D0A78" w:rsidRPr="00C15B38">
        <w:rPr>
          <w:rFonts w:asciiTheme="majorBidi" w:hAnsiTheme="majorBidi" w:hint="cs"/>
          <w:sz w:val="28"/>
          <w:szCs w:val="28"/>
          <w:rtl/>
        </w:rPr>
        <w:t xml:space="preserve"> وتحديثها باستمرار. وبحسب نتائج الدراسة، حُددت أيضاً عدد من المزايا الإدارية لاستخدام الحوسبة السحابية في التعليم. منها الفوائد الاقتصادية الناتجة عن تقليل أماكن التخزين، وتسهيل الأعمال الإشرافية، والاستعانة بمصادر خارجية للصيانة، وإطالة عمر الأجهزة، وتقليل تكلفة التراخيص، وتوفير نفقات </w:t>
      </w:r>
      <w:r w:rsidR="00160458" w:rsidRPr="00160458">
        <w:rPr>
          <w:rFonts w:asciiTheme="majorBidi" w:hAnsiTheme="majorBidi" w:hint="cs"/>
          <w:sz w:val="28"/>
          <w:szCs w:val="28"/>
          <w:rtl/>
        </w:rPr>
        <w:t xml:space="preserve">النسخ </w:t>
      </w:r>
      <w:r w:rsidR="00160458">
        <w:rPr>
          <w:rFonts w:asciiTheme="majorBidi" w:hAnsiTheme="majorBidi" w:hint="cs"/>
          <w:sz w:val="28"/>
          <w:szCs w:val="28"/>
          <w:rtl/>
        </w:rPr>
        <w:t>و</w:t>
      </w:r>
      <w:r w:rsidR="000D0A78" w:rsidRPr="00C15B38">
        <w:rPr>
          <w:rFonts w:asciiTheme="majorBidi" w:hAnsiTheme="majorBidi" w:hint="cs"/>
          <w:sz w:val="28"/>
          <w:szCs w:val="28"/>
          <w:rtl/>
        </w:rPr>
        <w:t xml:space="preserve">الطباعة. كما أن للحوسبة السحابية مزايا إدارية ناشئة عن تنظيم العمل منها تقليل متطلبات الموارد المحلية وتحسين الكفاءة </w:t>
      </w:r>
      <w:r w:rsidR="000D0A78" w:rsidRPr="00C15B38">
        <w:rPr>
          <w:rFonts w:asciiTheme="majorBidi" w:hAnsiTheme="majorBidi" w:hint="cs"/>
          <w:sz w:val="28"/>
          <w:szCs w:val="28"/>
          <w:rtl/>
        </w:rPr>
        <w:lastRenderedPageBreak/>
        <w:t xml:space="preserve">والفاعلية. وكان من نتائج الدراسة تحديد عدد من المعوقات التي تحول دون استخدام الحوسبة السحابية في التعليم، وتمثلت في الأعراف الثقافية المحلية التي قد تمنع التغيير، والتفاوت بين المعلمين كمهاجرين رقميين وبين الطلاب كمواطنين رقميين، والعوامل </w:t>
      </w:r>
      <w:r w:rsidR="00014B70">
        <w:rPr>
          <w:rFonts w:asciiTheme="majorBidi" w:hAnsiTheme="majorBidi" w:hint="cs"/>
          <w:sz w:val="28"/>
          <w:szCs w:val="28"/>
          <w:rtl/>
        </w:rPr>
        <w:t>ذات الصل</w:t>
      </w:r>
      <w:r w:rsidR="00160458">
        <w:rPr>
          <w:rFonts w:asciiTheme="majorBidi" w:hAnsiTheme="majorBidi" w:hint="cs"/>
          <w:sz w:val="28"/>
          <w:szCs w:val="28"/>
          <w:rtl/>
        </w:rPr>
        <w:t>ة</w:t>
      </w:r>
      <w:r w:rsidR="000D0A78" w:rsidRPr="00C15B38">
        <w:rPr>
          <w:rFonts w:asciiTheme="majorBidi" w:hAnsiTheme="majorBidi" w:hint="cs"/>
          <w:sz w:val="28"/>
          <w:szCs w:val="28"/>
          <w:rtl/>
        </w:rPr>
        <w:t xml:space="preserve"> بالسلامة وأمن البيانات والخصوصية. كما قدم الباحثون عدد </w:t>
      </w:r>
      <w:r w:rsidR="00160458">
        <w:rPr>
          <w:rFonts w:asciiTheme="majorBidi" w:hAnsiTheme="majorBidi" w:hint="cs"/>
          <w:sz w:val="28"/>
          <w:szCs w:val="28"/>
          <w:rtl/>
        </w:rPr>
        <w:t xml:space="preserve">من </w:t>
      </w:r>
      <w:r w:rsidR="000D0A78" w:rsidRPr="00C15B38">
        <w:rPr>
          <w:rFonts w:asciiTheme="majorBidi" w:hAnsiTheme="majorBidi" w:hint="cs"/>
          <w:sz w:val="28"/>
          <w:szCs w:val="28"/>
          <w:rtl/>
        </w:rPr>
        <w:t xml:space="preserve">التوصيات المتعلقة بالاستخدام المستقبلي للحوسبة السحابية في المدارس، منها الدراسة المتأنية للعوامل المرتبطة بحالة المدرسة، </w:t>
      </w:r>
      <w:r w:rsidR="00DA5E90">
        <w:rPr>
          <w:rFonts w:asciiTheme="majorBidi" w:hAnsiTheme="majorBidi" w:hint="cs"/>
          <w:sz w:val="28"/>
          <w:szCs w:val="28"/>
          <w:rtl/>
        </w:rPr>
        <w:t>و</w:t>
      </w:r>
      <w:r w:rsidR="000D0A78" w:rsidRPr="00C15B38">
        <w:rPr>
          <w:rFonts w:asciiTheme="majorBidi" w:hAnsiTheme="majorBidi" w:hint="cs"/>
          <w:sz w:val="28"/>
          <w:szCs w:val="28"/>
          <w:rtl/>
        </w:rPr>
        <w:t>تحديد سياسة الاستخدام وخطة التنفيذ، ووضع استراتيجية واضحة، والحصول على دعم إداري منتظم، وإقامة مشاريع تجريبية للاستفادة منها في الكشف عن التحديات ووضع الحلول لها قبل التنفيذ الكامل.</w:t>
      </w:r>
    </w:p>
    <w:p w14:paraId="0DEDB33B" w14:textId="77777777" w:rsidR="00A56AE5" w:rsidRPr="00F70F82" w:rsidRDefault="00A56AE5" w:rsidP="00A56AE5">
      <w:pPr>
        <w:jc w:val="both"/>
        <w:rPr>
          <w:rFonts w:asciiTheme="majorBidi" w:hAnsiTheme="majorBidi" w:cstheme="majorBidi"/>
          <w:sz w:val="32"/>
          <w:szCs w:val="32"/>
          <w:rtl/>
        </w:rPr>
      </w:pPr>
      <w:r w:rsidRPr="00F70F82">
        <w:rPr>
          <w:rFonts w:asciiTheme="majorBidi" w:hAnsiTheme="majorBidi" w:cstheme="majorBidi"/>
          <w:sz w:val="32"/>
          <w:szCs w:val="32"/>
          <w:rtl/>
        </w:rPr>
        <w:t>الحوسبة السحابية ونظريات التعلم:</w:t>
      </w:r>
    </w:p>
    <w:p w14:paraId="73019EB8" w14:textId="77777777" w:rsidR="00A56AE5" w:rsidRPr="004B08CF" w:rsidRDefault="00A56AE5" w:rsidP="00A56AE5">
      <w:pPr>
        <w:jc w:val="both"/>
        <w:rPr>
          <w:rFonts w:ascii="Arial" w:hAnsi="Arial" w:cs="Arial"/>
          <w:sz w:val="20"/>
          <w:szCs w:val="20"/>
        </w:rPr>
      </w:pPr>
      <w:r>
        <w:rPr>
          <w:rFonts w:asciiTheme="majorBidi" w:hAnsiTheme="majorBidi"/>
          <w:sz w:val="32"/>
          <w:szCs w:val="32"/>
          <w:rtl/>
        </w:rPr>
        <w:tab/>
      </w:r>
      <w:r w:rsidRPr="004B08CF">
        <w:rPr>
          <w:rFonts w:asciiTheme="majorBidi" w:hAnsiTheme="majorBidi" w:hint="cs"/>
          <w:sz w:val="28"/>
          <w:szCs w:val="28"/>
          <w:rtl/>
        </w:rPr>
        <w:t xml:space="preserve">تدعم أدوات التعلم القائمة على الحوسبة السحابية عدد من نظريات التعلم، وينبغي عند تصميم المحتويات التعليمية مراعاة بعض الجوانب بحسب النظرية المتبناة، ومن تلك الجوانب </w:t>
      </w:r>
      <w:r w:rsidRPr="004B08CF">
        <w:rPr>
          <w:sz w:val="24"/>
          <w:szCs w:val="24"/>
          <w:rtl/>
        </w:rPr>
        <w:t>(</w:t>
      </w:r>
      <w:r w:rsidRPr="004B08CF">
        <w:rPr>
          <w:sz w:val="24"/>
          <w:szCs w:val="24"/>
        </w:rPr>
        <w:t>Parsons &amp; MacCallum, 2020</w:t>
      </w:r>
      <w:r>
        <w:rPr>
          <w:sz w:val="24"/>
          <w:szCs w:val="24"/>
        </w:rPr>
        <w:t>, p.987-988</w:t>
      </w:r>
      <w:r w:rsidRPr="004B08CF">
        <w:rPr>
          <w:sz w:val="24"/>
          <w:szCs w:val="24"/>
          <w:rtl/>
        </w:rPr>
        <w:t>)</w:t>
      </w:r>
      <w:r w:rsidRPr="004B08CF">
        <w:rPr>
          <w:rFonts w:asciiTheme="majorBidi" w:hAnsiTheme="majorBidi" w:hint="cs"/>
          <w:sz w:val="28"/>
          <w:szCs w:val="28"/>
          <w:rtl/>
        </w:rPr>
        <w:t>:</w:t>
      </w:r>
    </w:p>
    <w:p w14:paraId="2032F334" w14:textId="77777777" w:rsidR="00A56AE5" w:rsidRPr="004B08CF" w:rsidRDefault="00A56AE5" w:rsidP="00A56AE5">
      <w:pPr>
        <w:numPr>
          <w:ilvl w:val="0"/>
          <w:numId w:val="7"/>
        </w:numPr>
        <w:ind w:left="567" w:hanging="207"/>
        <w:jc w:val="both"/>
        <w:rPr>
          <w:rFonts w:asciiTheme="majorBidi" w:hAnsiTheme="majorBidi"/>
          <w:sz w:val="28"/>
          <w:szCs w:val="28"/>
          <w:rtl/>
        </w:rPr>
      </w:pPr>
      <w:r w:rsidRPr="004B08CF">
        <w:rPr>
          <w:rFonts w:asciiTheme="majorBidi" w:hAnsiTheme="majorBidi" w:hint="cs"/>
          <w:b/>
          <w:bCs/>
          <w:sz w:val="28"/>
          <w:szCs w:val="28"/>
          <w:rtl/>
        </w:rPr>
        <w:t>السلوكية:</w:t>
      </w:r>
      <w:r w:rsidRPr="004B08CF">
        <w:rPr>
          <w:rFonts w:asciiTheme="majorBidi" w:hAnsiTheme="majorBidi" w:hint="cs"/>
          <w:sz w:val="28"/>
          <w:szCs w:val="28"/>
          <w:rtl/>
        </w:rPr>
        <w:t xml:space="preserve"> تعرض المواد التعليمية القائمة على الخدمات السحابية بشكل متسلسل وتتضمن نتائج قابلة للقياس، واختبارات، وتغذية راجعة وتعزيز.</w:t>
      </w:r>
    </w:p>
    <w:p w14:paraId="5DA8DD31" w14:textId="77777777" w:rsidR="00A56AE5" w:rsidRPr="004B08CF" w:rsidRDefault="00A56AE5" w:rsidP="00A56AE5">
      <w:pPr>
        <w:numPr>
          <w:ilvl w:val="0"/>
          <w:numId w:val="7"/>
        </w:numPr>
        <w:ind w:left="567" w:hanging="207"/>
        <w:jc w:val="both"/>
        <w:rPr>
          <w:rFonts w:asciiTheme="majorBidi" w:hAnsiTheme="majorBidi"/>
          <w:sz w:val="28"/>
          <w:szCs w:val="28"/>
          <w:rtl/>
        </w:rPr>
      </w:pPr>
      <w:r w:rsidRPr="004B08CF">
        <w:rPr>
          <w:rFonts w:asciiTheme="majorBidi" w:hAnsiTheme="majorBidi" w:hint="cs"/>
          <w:b/>
          <w:bCs/>
          <w:sz w:val="28"/>
          <w:szCs w:val="28"/>
          <w:rtl/>
        </w:rPr>
        <w:t>البنائية:</w:t>
      </w:r>
      <w:r w:rsidRPr="004B08CF">
        <w:rPr>
          <w:rFonts w:asciiTheme="majorBidi" w:hAnsiTheme="majorBidi" w:hint="cs"/>
          <w:sz w:val="28"/>
          <w:szCs w:val="28"/>
          <w:rtl/>
        </w:rPr>
        <w:t xml:space="preserve"> يُصمم المحتوى التعليمي القائم على الخدمات السحابية بشكل يتيح للمتعلم بناء المعرفة بفاعلية من خلال التعاون والمشاركة. مع تحكم المتعلم بعملية التعلم ووقتها وفرصة تطوير المعنى الشخصي والتعبير عنه. </w:t>
      </w:r>
    </w:p>
    <w:p w14:paraId="323A8FB2" w14:textId="77777777" w:rsidR="00A56AE5" w:rsidRPr="004B08CF" w:rsidRDefault="00A56AE5" w:rsidP="00A56AE5">
      <w:pPr>
        <w:numPr>
          <w:ilvl w:val="0"/>
          <w:numId w:val="7"/>
        </w:numPr>
        <w:ind w:left="567" w:hanging="207"/>
        <w:jc w:val="both"/>
        <w:rPr>
          <w:rFonts w:asciiTheme="majorBidi" w:hAnsiTheme="majorBidi"/>
          <w:sz w:val="28"/>
          <w:szCs w:val="28"/>
          <w:rtl/>
        </w:rPr>
      </w:pPr>
      <w:r w:rsidRPr="004B08CF">
        <w:rPr>
          <w:rFonts w:asciiTheme="majorBidi" w:hAnsiTheme="majorBidi" w:hint="cs"/>
          <w:b/>
          <w:bCs/>
          <w:sz w:val="28"/>
          <w:szCs w:val="28"/>
          <w:rtl/>
        </w:rPr>
        <w:t>التعلم التجريبي:</w:t>
      </w:r>
      <w:r w:rsidRPr="004B08CF">
        <w:rPr>
          <w:rFonts w:asciiTheme="majorBidi" w:hAnsiTheme="majorBidi" w:hint="cs"/>
          <w:sz w:val="28"/>
          <w:szCs w:val="28"/>
          <w:rtl/>
        </w:rPr>
        <w:t xml:space="preserve"> تصمم الأنشطة والمحتوى التعليمي القائم على الخدمات السحابية للمرور بدورة مكونة من الخبرة، والملاحظة، والتصور، والتجربة. ليتحول ذلك المحتوى من خلال التفكير إلى معرفة جديدة.</w:t>
      </w:r>
    </w:p>
    <w:p w14:paraId="0BA772EA" w14:textId="77777777" w:rsidR="00A56AE5" w:rsidRPr="004B08CF" w:rsidRDefault="00A56AE5" w:rsidP="00A56AE5">
      <w:pPr>
        <w:numPr>
          <w:ilvl w:val="0"/>
          <w:numId w:val="7"/>
        </w:numPr>
        <w:ind w:left="567" w:hanging="207"/>
        <w:jc w:val="both"/>
        <w:rPr>
          <w:rFonts w:asciiTheme="majorBidi" w:hAnsiTheme="majorBidi"/>
          <w:sz w:val="28"/>
          <w:szCs w:val="28"/>
          <w:rtl/>
        </w:rPr>
      </w:pPr>
      <w:r w:rsidRPr="004B08CF">
        <w:rPr>
          <w:rFonts w:asciiTheme="majorBidi" w:hAnsiTheme="majorBidi" w:hint="cs"/>
          <w:b/>
          <w:bCs/>
          <w:sz w:val="28"/>
          <w:szCs w:val="28"/>
          <w:rtl/>
        </w:rPr>
        <w:lastRenderedPageBreak/>
        <w:t>المعرفة الوضعية:</w:t>
      </w:r>
      <w:r w:rsidRPr="004B08CF">
        <w:rPr>
          <w:rFonts w:asciiTheme="majorBidi" w:hAnsiTheme="majorBidi" w:hint="cs"/>
          <w:sz w:val="28"/>
          <w:szCs w:val="28"/>
          <w:rtl/>
        </w:rPr>
        <w:t xml:space="preserve"> يصمم التعلم القائم على الخدمات السحابية ضمن سياق حقيقي، وأنشطة تعكس تطبيقاً للحياة الواقعية وتدعم البناء التعاوني للمعرفة من خلال التدريب، وعروض الخبراء وأدائهم، ونمذجة العمليات، والتفكير. </w:t>
      </w:r>
    </w:p>
    <w:p w14:paraId="31F026EB" w14:textId="77777777" w:rsidR="00A56AE5" w:rsidRPr="004B08CF" w:rsidRDefault="00A56AE5" w:rsidP="00A56AE5">
      <w:pPr>
        <w:numPr>
          <w:ilvl w:val="0"/>
          <w:numId w:val="7"/>
        </w:numPr>
        <w:ind w:left="567" w:hanging="207"/>
        <w:jc w:val="both"/>
        <w:rPr>
          <w:rFonts w:asciiTheme="majorBidi" w:hAnsiTheme="majorBidi"/>
          <w:sz w:val="28"/>
          <w:szCs w:val="28"/>
          <w:rtl/>
        </w:rPr>
      </w:pPr>
      <w:r w:rsidRPr="004B08CF">
        <w:rPr>
          <w:rFonts w:asciiTheme="majorBidi" w:hAnsiTheme="majorBidi" w:hint="cs"/>
          <w:b/>
          <w:bCs/>
          <w:sz w:val="28"/>
          <w:szCs w:val="28"/>
          <w:rtl/>
        </w:rPr>
        <w:t>مجتمعات الممارسة:</w:t>
      </w:r>
      <w:r w:rsidRPr="004B08CF">
        <w:rPr>
          <w:rFonts w:asciiTheme="majorBidi" w:hAnsiTheme="majorBidi" w:hint="cs"/>
          <w:sz w:val="28"/>
          <w:szCs w:val="28"/>
          <w:rtl/>
        </w:rPr>
        <w:t xml:space="preserve"> يحدث التعليم القائم على الخدمات السحابية ضمن مجتمع ممارسة موحد ومتنوع، ويرافق التعلم التعاوني عملية اجتماعية لتبادل المعلومات وتكوين المعرفة. </w:t>
      </w:r>
    </w:p>
    <w:p w14:paraId="6511C9C7" w14:textId="77777777" w:rsidR="00A56AE5" w:rsidRPr="004B08CF" w:rsidRDefault="00A56AE5" w:rsidP="00A56AE5">
      <w:pPr>
        <w:numPr>
          <w:ilvl w:val="0"/>
          <w:numId w:val="7"/>
        </w:numPr>
        <w:ind w:left="567" w:hanging="207"/>
        <w:jc w:val="both"/>
        <w:rPr>
          <w:rFonts w:asciiTheme="majorBidi" w:hAnsiTheme="majorBidi"/>
          <w:sz w:val="28"/>
          <w:szCs w:val="28"/>
          <w:rtl/>
        </w:rPr>
      </w:pPr>
      <w:r w:rsidRPr="004B08CF">
        <w:rPr>
          <w:rFonts w:asciiTheme="majorBidi" w:hAnsiTheme="majorBidi" w:hint="cs"/>
          <w:b/>
          <w:bCs/>
          <w:sz w:val="28"/>
          <w:szCs w:val="28"/>
          <w:rtl/>
        </w:rPr>
        <w:t>الاتصالية:</w:t>
      </w:r>
      <w:r w:rsidRPr="004B08CF">
        <w:rPr>
          <w:rFonts w:asciiTheme="majorBidi" w:hAnsiTheme="majorBidi" w:hint="cs"/>
          <w:sz w:val="28"/>
          <w:szCs w:val="28"/>
          <w:rtl/>
        </w:rPr>
        <w:t xml:space="preserve"> يصمم التعليم ليكون إنشاء وتقييم ونقد المعرفة ضمن شبكات التعلم باستخدام التقنيات السحابية كأدوات التعلم التعاوني، ومصادر المعلومات، ووسائل التواصل الاجتماعي.</w:t>
      </w:r>
    </w:p>
    <w:p w14:paraId="248C9F18" w14:textId="77777777" w:rsidR="00946CF0" w:rsidRPr="000D0A78" w:rsidRDefault="00946CF0" w:rsidP="00E56CDC">
      <w:pPr>
        <w:jc w:val="both"/>
        <w:rPr>
          <w:rFonts w:asciiTheme="majorBidi" w:hAnsiTheme="majorBidi"/>
          <w:sz w:val="32"/>
          <w:szCs w:val="32"/>
          <w:rtl/>
        </w:rPr>
      </w:pPr>
    </w:p>
    <w:p w14:paraId="76E9AFD6" w14:textId="7E0B9A00" w:rsidR="00B100E0" w:rsidRDefault="004B08CF" w:rsidP="004B08CF">
      <w:pPr>
        <w:bidi w:val="0"/>
        <w:rPr>
          <w:rFonts w:asciiTheme="majorBidi" w:hAnsiTheme="majorBidi"/>
          <w:sz w:val="32"/>
          <w:szCs w:val="32"/>
          <w:rtl/>
        </w:rPr>
      </w:pPr>
      <w:r>
        <w:rPr>
          <w:rFonts w:asciiTheme="majorBidi" w:hAnsiTheme="majorBidi"/>
          <w:sz w:val="32"/>
          <w:szCs w:val="32"/>
          <w:rtl/>
        </w:rPr>
        <w:br w:type="page"/>
      </w:r>
    </w:p>
    <w:p w14:paraId="213DF5F3" w14:textId="0D471E34" w:rsidR="00F70F82" w:rsidRPr="00205104" w:rsidRDefault="00F70F82" w:rsidP="00205104">
      <w:pPr>
        <w:jc w:val="center"/>
        <w:rPr>
          <w:rFonts w:asciiTheme="majorBidi" w:hAnsiTheme="majorBidi" w:cstheme="majorBidi"/>
          <w:sz w:val="32"/>
          <w:szCs w:val="32"/>
          <w:rtl/>
        </w:rPr>
      </w:pPr>
      <w:r w:rsidRPr="00C06443">
        <w:rPr>
          <w:rFonts w:asciiTheme="majorBidi" w:hAnsiTheme="majorBidi" w:cstheme="majorBidi"/>
          <w:sz w:val="32"/>
          <w:szCs w:val="32"/>
          <w:rtl/>
        </w:rPr>
        <w:lastRenderedPageBreak/>
        <w:t>المراجع</w:t>
      </w:r>
    </w:p>
    <w:p w14:paraId="2274A9CA" w14:textId="77777777" w:rsidR="003D3FF3" w:rsidRPr="00611BCF" w:rsidRDefault="003D3FF3" w:rsidP="00261582">
      <w:pPr>
        <w:bidi w:val="0"/>
        <w:spacing w:line="240" w:lineRule="auto"/>
        <w:ind w:left="709" w:hanging="709"/>
        <w:jc w:val="both"/>
        <w:rPr>
          <w:sz w:val="24"/>
          <w:szCs w:val="24"/>
        </w:rPr>
      </w:pPr>
      <w:r w:rsidRPr="00611BCF">
        <w:rPr>
          <w:sz w:val="24"/>
          <w:szCs w:val="24"/>
        </w:rPr>
        <w:t xml:space="preserve">Al Arood, M. A. S., Aljallad, M. Z., &amp; Baioumy, N. (2020). The Effectiveness of a Cloud-Based Learning Program in Developing Reflective Thinking Skills in Islamic Education among Students in UAE. </w:t>
      </w:r>
      <w:r w:rsidRPr="001C7F6D">
        <w:rPr>
          <w:i/>
          <w:iCs/>
          <w:sz w:val="24"/>
          <w:szCs w:val="24"/>
        </w:rPr>
        <w:t>International J</w:t>
      </w:r>
      <w:r w:rsidRPr="005D6CA9">
        <w:rPr>
          <w:i/>
          <w:iCs/>
          <w:sz w:val="24"/>
          <w:szCs w:val="24"/>
        </w:rPr>
        <w:t>ournal of Education and Practice</w:t>
      </w:r>
      <w:r w:rsidRPr="00611BCF">
        <w:rPr>
          <w:sz w:val="24"/>
          <w:szCs w:val="24"/>
        </w:rPr>
        <w:t>, 8(1), 158-173.</w:t>
      </w:r>
      <w:r w:rsidRPr="00611BCF">
        <w:rPr>
          <w:sz w:val="24"/>
          <w:szCs w:val="24"/>
          <w:rtl/>
        </w:rPr>
        <w:t>‏</w:t>
      </w:r>
      <w:r>
        <w:rPr>
          <w:sz w:val="24"/>
          <w:szCs w:val="24"/>
        </w:rPr>
        <w:t xml:space="preserve"> </w:t>
      </w:r>
      <w:r w:rsidRPr="00261582">
        <w:rPr>
          <w:sz w:val="24"/>
          <w:szCs w:val="24"/>
        </w:rPr>
        <w:t>https://</w:t>
      </w:r>
      <w:r>
        <w:rPr>
          <w:sz w:val="24"/>
          <w:szCs w:val="24"/>
        </w:rPr>
        <w:t>doi</w:t>
      </w:r>
      <w:r w:rsidRPr="00671098">
        <w:rPr>
          <w:sz w:val="24"/>
          <w:szCs w:val="24"/>
        </w:rPr>
        <w:t>:10.18488/journal.61.2020.81.158.173</w:t>
      </w:r>
    </w:p>
    <w:p w14:paraId="23056F6B" w14:textId="77777777" w:rsidR="003D3FF3" w:rsidRDefault="003D3FF3" w:rsidP="00737DB6">
      <w:pPr>
        <w:bidi w:val="0"/>
        <w:spacing w:line="240" w:lineRule="auto"/>
        <w:ind w:left="709" w:hanging="709"/>
        <w:jc w:val="both"/>
        <w:rPr>
          <w:sz w:val="24"/>
          <w:szCs w:val="24"/>
        </w:rPr>
      </w:pPr>
      <w:r w:rsidRPr="00611BCF">
        <w:rPr>
          <w:sz w:val="24"/>
          <w:szCs w:val="24"/>
        </w:rPr>
        <w:t xml:space="preserve">Hartmann, S. B., Braae, L. Q. N., Pedersen, S., &amp; Khalid, M. (2017). The Potentials of Using Cloud Computing in Schools: A Systematic Literature Review. </w:t>
      </w:r>
      <w:r w:rsidRPr="00611BCF">
        <w:rPr>
          <w:i/>
          <w:iCs/>
          <w:sz w:val="24"/>
          <w:szCs w:val="24"/>
        </w:rPr>
        <w:t>Turkish Online Journal of Educational Technology-TOJET</w:t>
      </w:r>
      <w:r w:rsidRPr="00611BCF">
        <w:rPr>
          <w:sz w:val="24"/>
          <w:szCs w:val="24"/>
        </w:rPr>
        <w:t xml:space="preserve">, </w:t>
      </w:r>
      <w:r w:rsidRPr="00611BCF">
        <w:rPr>
          <w:i/>
          <w:iCs/>
          <w:sz w:val="24"/>
          <w:szCs w:val="24"/>
        </w:rPr>
        <w:t>16</w:t>
      </w:r>
      <w:r w:rsidRPr="00611BCF">
        <w:rPr>
          <w:sz w:val="24"/>
          <w:szCs w:val="24"/>
        </w:rPr>
        <w:t>(1), 190-202.</w:t>
      </w:r>
    </w:p>
    <w:p w14:paraId="22902D05" w14:textId="65D68DD1" w:rsidR="003D3FF3" w:rsidRDefault="003D3FF3" w:rsidP="00261582">
      <w:pPr>
        <w:bidi w:val="0"/>
        <w:spacing w:line="240" w:lineRule="auto"/>
        <w:ind w:left="709" w:hanging="709"/>
        <w:jc w:val="both"/>
        <w:rPr>
          <w:sz w:val="24"/>
          <w:szCs w:val="24"/>
        </w:rPr>
      </w:pPr>
      <w:r w:rsidRPr="00611BCF">
        <w:rPr>
          <w:sz w:val="24"/>
          <w:szCs w:val="24"/>
        </w:rPr>
        <w:t xml:space="preserve">Liu, Z. Q., Dorozhkin, E., Davydova, N., &amp; Sadovnikova, N. (2020). Effectiveness of the Partial Implementation of a Cloud-Based Knowledge Management System. </w:t>
      </w:r>
      <w:r w:rsidRPr="00611BCF">
        <w:rPr>
          <w:i/>
          <w:iCs/>
          <w:sz w:val="24"/>
          <w:szCs w:val="24"/>
        </w:rPr>
        <w:t>International Journal of Emerging Technologies in Learning (iJET)</w:t>
      </w:r>
      <w:r w:rsidRPr="00611BCF">
        <w:rPr>
          <w:sz w:val="24"/>
          <w:szCs w:val="24"/>
        </w:rPr>
        <w:t xml:space="preserve">, </w:t>
      </w:r>
      <w:r w:rsidRPr="00611BCF">
        <w:rPr>
          <w:i/>
          <w:iCs/>
          <w:sz w:val="24"/>
          <w:szCs w:val="24"/>
        </w:rPr>
        <w:t>15</w:t>
      </w:r>
      <w:r w:rsidRPr="00611BCF">
        <w:rPr>
          <w:sz w:val="24"/>
          <w:szCs w:val="24"/>
        </w:rPr>
        <w:t>(13), 155-171.</w:t>
      </w:r>
      <w:r w:rsidRPr="00611BCF">
        <w:rPr>
          <w:sz w:val="24"/>
          <w:szCs w:val="24"/>
          <w:rtl/>
        </w:rPr>
        <w:t>‏</w:t>
      </w:r>
      <w:r>
        <w:rPr>
          <w:sz w:val="24"/>
          <w:szCs w:val="24"/>
        </w:rPr>
        <w:t xml:space="preserve"> </w:t>
      </w:r>
      <w:bookmarkStart w:id="3" w:name="_Hlk49024880"/>
      <w:r w:rsidR="006551C0" w:rsidRPr="006551C0">
        <w:rPr>
          <w:sz w:val="24"/>
          <w:szCs w:val="24"/>
        </w:rPr>
        <w:t>https://</w:t>
      </w:r>
      <w:bookmarkEnd w:id="3"/>
      <w:r w:rsidR="006551C0" w:rsidRPr="006551C0">
        <w:rPr>
          <w:sz w:val="24"/>
          <w:szCs w:val="24"/>
        </w:rPr>
        <w:t>doi.org/10.3991/ijet.v15i13.14919</w:t>
      </w:r>
    </w:p>
    <w:p w14:paraId="730B728C" w14:textId="78255E10" w:rsidR="00A1599E" w:rsidRDefault="00A1599E" w:rsidP="00A1599E">
      <w:pPr>
        <w:bidi w:val="0"/>
        <w:spacing w:line="240" w:lineRule="auto"/>
        <w:ind w:left="709" w:hanging="709"/>
        <w:jc w:val="both"/>
        <w:rPr>
          <w:sz w:val="24"/>
          <w:szCs w:val="24"/>
        </w:rPr>
      </w:pPr>
      <w:r w:rsidRPr="00A1599E">
        <w:rPr>
          <w:sz w:val="24"/>
          <w:szCs w:val="24"/>
        </w:rPr>
        <w:t>Mell, P. &amp; Grance, T. (2011). The NIST definition of cloud computing.</w:t>
      </w:r>
      <w:r w:rsidRPr="00A1599E">
        <w:rPr>
          <w:sz w:val="24"/>
          <w:szCs w:val="24"/>
          <w:rtl/>
        </w:rPr>
        <w:t>‏</w:t>
      </w:r>
      <w:r>
        <w:rPr>
          <w:sz w:val="24"/>
          <w:szCs w:val="24"/>
        </w:rPr>
        <w:t xml:space="preserve"> </w:t>
      </w:r>
      <w:r w:rsidRPr="00A1599E">
        <w:rPr>
          <w:sz w:val="24"/>
          <w:szCs w:val="24"/>
        </w:rPr>
        <w:t>Special Publication (NIST SP) - 800-145</w:t>
      </w:r>
    </w:p>
    <w:p w14:paraId="7271D1EC" w14:textId="77777777" w:rsidR="00A56AE5" w:rsidRPr="00C15B38" w:rsidRDefault="00A56AE5" w:rsidP="00A56AE5">
      <w:pPr>
        <w:bidi w:val="0"/>
        <w:ind w:left="709" w:hanging="709"/>
        <w:jc w:val="both"/>
        <w:rPr>
          <w:sz w:val="24"/>
          <w:szCs w:val="24"/>
        </w:rPr>
      </w:pPr>
      <w:r w:rsidRPr="00687119">
        <w:rPr>
          <w:sz w:val="24"/>
          <w:szCs w:val="24"/>
        </w:rPr>
        <w:t>Parsons, D., &amp; MacCallum, K. (2020). A Learning Theory Rubric for Evaluating Mobile Learning Activities. In Information Resources Management Association (Ed.),</w:t>
      </w:r>
      <w:r w:rsidRPr="00687119">
        <w:rPr>
          <w:i/>
          <w:iCs/>
          <w:sz w:val="24"/>
          <w:szCs w:val="24"/>
        </w:rPr>
        <w:t xml:space="preserve"> Mobile Devices in Education: Breakthroughs in Research and Practice</w:t>
      </w:r>
      <w:r w:rsidRPr="00687119">
        <w:rPr>
          <w:sz w:val="24"/>
          <w:szCs w:val="24"/>
        </w:rPr>
        <w:t xml:space="preserve"> (pp. 983-998). IGI Global. http://doi:10.4018/978-1-7998-1757-4.ch056</w:t>
      </w:r>
    </w:p>
    <w:p w14:paraId="0247989C" w14:textId="3BD36433" w:rsidR="003D3FF3" w:rsidRPr="003D3FF3" w:rsidRDefault="003D3FF3" w:rsidP="00A56AE5">
      <w:pPr>
        <w:bidi w:val="0"/>
        <w:spacing w:line="240" w:lineRule="auto"/>
        <w:ind w:left="709" w:hanging="709"/>
        <w:jc w:val="highKashida"/>
        <w:rPr>
          <w:sz w:val="24"/>
          <w:szCs w:val="24"/>
        </w:rPr>
      </w:pPr>
      <w:r w:rsidRPr="003D3FF3">
        <w:rPr>
          <w:sz w:val="24"/>
          <w:szCs w:val="24"/>
        </w:rPr>
        <w:t xml:space="preserve">Al-Samarraie, H., &amp; Saeed, N. (2018). A systematic review of cloud computing tools for collaborative learning: Opportunities and challenges to the blended-learning environment. </w:t>
      </w:r>
      <w:r w:rsidRPr="003D3FF3">
        <w:rPr>
          <w:i/>
          <w:iCs/>
          <w:sz w:val="24"/>
          <w:szCs w:val="24"/>
        </w:rPr>
        <w:t>Computers &amp; Education</w:t>
      </w:r>
      <w:r w:rsidRPr="003D3FF3">
        <w:rPr>
          <w:sz w:val="24"/>
          <w:szCs w:val="24"/>
        </w:rPr>
        <w:t xml:space="preserve">, </w:t>
      </w:r>
      <w:r w:rsidRPr="003D3FF3">
        <w:rPr>
          <w:i/>
          <w:iCs/>
          <w:sz w:val="24"/>
          <w:szCs w:val="24"/>
        </w:rPr>
        <w:t>124</w:t>
      </w:r>
      <w:r w:rsidRPr="003D3FF3">
        <w:rPr>
          <w:sz w:val="24"/>
          <w:szCs w:val="24"/>
        </w:rPr>
        <w:t xml:space="preserve">, </w:t>
      </w:r>
      <w:r w:rsidRPr="003D3FF3">
        <w:rPr>
          <w:sz w:val="24"/>
          <w:szCs w:val="24"/>
        </w:rPr>
        <w:lastRenderedPageBreak/>
        <w:t>77-91.</w:t>
      </w:r>
      <w:r w:rsidRPr="003D3FF3">
        <w:rPr>
          <w:sz w:val="24"/>
          <w:szCs w:val="24"/>
          <w:rtl/>
        </w:rPr>
        <w:t>‏</w:t>
      </w:r>
      <w:r w:rsidRPr="003D3FF3">
        <w:rPr>
          <w:sz w:val="24"/>
          <w:szCs w:val="24"/>
        </w:rPr>
        <w:t xml:space="preserve"> https://doi.org/10.1016/j.compedu.2018.05.016</w:t>
      </w:r>
    </w:p>
    <w:p w14:paraId="7B6220A1" w14:textId="77777777" w:rsidR="003D3FF3" w:rsidRPr="00A05260" w:rsidRDefault="003D3FF3" w:rsidP="00A05260">
      <w:pPr>
        <w:bidi w:val="0"/>
        <w:spacing w:line="240" w:lineRule="auto"/>
        <w:ind w:left="709" w:hanging="709"/>
        <w:jc w:val="both"/>
        <w:rPr>
          <w:sz w:val="24"/>
          <w:szCs w:val="24"/>
        </w:rPr>
      </w:pPr>
      <w:r w:rsidRPr="00611BCF">
        <w:rPr>
          <w:sz w:val="24"/>
          <w:szCs w:val="24"/>
        </w:rPr>
        <w:t xml:space="preserve">Sarode, N., &amp; Bakal, J. W. (2020, March). A Review on use of Mobile Cloud System in Educational Sector. In </w:t>
      </w:r>
      <w:r w:rsidRPr="00611BCF">
        <w:rPr>
          <w:i/>
          <w:iCs/>
          <w:sz w:val="24"/>
          <w:szCs w:val="24"/>
        </w:rPr>
        <w:t>2020 6th International Conference on Advanced Computing and Communication Systems (ICACCS)</w:t>
      </w:r>
      <w:r w:rsidRPr="00611BCF">
        <w:rPr>
          <w:sz w:val="24"/>
          <w:szCs w:val="24"/>
        </w:rPr>
        <w:t xml:space="preserve"> (pp. 715-720). </w:t>
      </w:r>
      <w:r w:rsidRPr="00A05260">
        <w:rPr>
          <w:sz w:val="24"/>
          <w:szCs w:val="24"/>
        </w:rPr>
        <w:t>https://doi.org/10.1109/ICACCS48705.2020.9074167</w:t>
      </w:r>
    </w:p>
    <w:p w14:paraId="2DAD056D" w14:textId="77777777" w:rsidR="003D3FF3" w:rsidRPr="00611BCF" w:rsidRDefault="003D3FF3" w:rsidP="00661ABC">
      <w:pPr>
        <w:bidi w:val="0"/>
        <w:spacing w:line="240" w:lineRule="auto"/>
        <w:ind w:left="709" w:hanging="709"/>
        <w:jc w:val="both"/>
        <w:rPr>
          <w:sz w:val="24"/>
          <w:szCs w:val="24"/>
        </w:rPr>
      </w:pPr>
      <w:r w:rsidRPr="00611BCF">
        <w:rPr>
          <w:sz w:val="24"/>
          <w:szCs w:val="24"/>
        </w:rPr>
        <w:t xml:space="preserve">Shahzad, F., Xiu, G., Khan, I., Shahbaz, M., Riaz, M. U., &amp; Abbas, A. (2020). The moderating role of intrinsic motivation in cloud computing adoption in online education in a developing country: a structural equation model. </w:t>
      </w:r>
      <w:r w:rsidRPr="00611BCF">
        <w:rPr>
          <w:i/>
          <w:iCs/>
          <w:sz w:val="24"/>
          <w:szCs w:val="24"/>
        </w:rPr>
        <w:t>Asia Pacific Education Review</w:t>
      </w:r>
      <w:r w:rsidRPr="00611BCF">
        <w:rPr>
          <w:sz w:val="24"/>
          <w:szCs w:val="24"/>
        </w:rPr>
        <w:t xml:space="preserve">, </w:t>
      </w:r>
      <w:r w:rsidRPr="00611BCF">
        <w:rPr>
          <w:i/>
          <w:iCs/>
          <w:sz w:val="24"/>
          <w:szCs w:val="24"/>
        </w:rPr>
        <w:t>21</w:t>
      </w:r>
      <w:r w:rsidRPr="00611BCF">
        <w:rPr>
          <w:sz w:val="24"/>
          <w:szCs w:val="24"/>
        </w:rPr>
        <w:t>(1), 121-141.</w:t>
      </w:r>
      <w:r w:rsidRPr="00611BCF">
        <w:rPr>
          <w:sz w:val="24"/>
          <w:szCs w:val="24"/>
          <w:rtl/>
        </w:rPr>
        <w:t>‏</w:t>
      </w:r>
      <w:r>
        <w:rPr>
          <w:sz w:val="24"/>
          <w:szCs w:val="24"/>
        </w:rPr>
        <w:t xml:space="preserve"> </w:t>
      </w:r>
      <w:r w:rsidRPr="00661ABC">
        <w:rPr>
          <w:sz w:val="24"/>
          <w:szCs w:val="24"/>
        </w:rPr>
        <w:t>https://doi.org/10.1007/s12564-019-09611-2</w:t>
      </w:r>
    </w:p>
    <w:p w14:paraId="61B5F50C" w14:textId="2401F2E5" w:rsidR="00057BAF" w:rsidRDefault="003D3FF3" w:rsidP="00540DD9">
      <w:pPr>
        <w:bidi w:val="0"/>
        <w:spacing w:line="240" w:lineRule="auto"/>
        <w:ind w:left="709" w:hanging="709"/>
        <w:jc w:val="both"/>
        <w:rPr>
          <w:sz w:val="24"/>
          <w:szCs w:val="24"/>
        </w:rPr>
      </w:pPr>
      <w:r w:rsidRPr="00611BCF">
        <w:rPr>
          <w:sz w:val="24"/>
          <w:szCs w:val="24"/>
        </w:rPr>
        <w:t xml:space="preserve">Shiau, W. L., &amp; Chau, P. Y. (2016). Understanding behavioral intention to use a cloud computing classroom: A multiple model comparison approach. </w:t>
      </w:r>
      <w:r w:rsidRPr="00611BCF">
        <w:rPr>
          <w:i/>
          <w:iCs/>
          <w:sz w:val="24"/>
          <w:szCs w:val="24"/>
        </w:rPr>
        <w:t>Information &amp; Management</w:t>
      </w:r>
      <w:r w:rsidRPr="00611BCF">
        <w:rPr>
          <w:sz w:val="24"/>
          <w:szCs w:val="24"/>
        </w:rPr>
        <w:t xml:space="preserve">, </w:t>
      </w:r>
      <w:r w:rsidRPr="00611BCF">
        <w:rPr>
          <w:i/>
          <w:iCs/>
          <w:sz w:val="24"/>
          <w:szCs w:val="24"/>
        </w:rPr>
        <w:t>53</w:t>
      </w:r>
      <w:r w:rsidRPr="00611BCF">
        <w:rPr>
          <w:sz w:val="24"/>
          <w:szCs w:val="24"/>
        </w:rPr>
        <w:t>(3), 355-365.</w:t>
      </w:r>
      <w:r w:rsidRPr="00611BCF">
        <w:rPr>
          <w:sz w:val="24"/>
          <w:szCs w:val="24"/>
          <w:rtl/>
        </w:rPr>
        <w:t>‏</w:t>
      </w:r>
      <w:r>
        <w:rPr>
          <w:sz w:val="24"/>
          <w:szCs w:val="24"/>
        </w:rPr>
        <w:t xml:space="preserve"> </w:t>
      </w:r>
      <w:r w:rsidRPr="00540DD9">
        <w:rPr>
          <w:sz w:val="24"/>
          <w:szCs w:val="24"/>
        </w:rPr>
        <w:t>http://doi.org/10.1016/j.im.2015.10.004</w:t>
      </w:r>
    </w:p>
    <w:p w14:paraId="7F05BC4C" w14:textId="7FB54F03" w:rsidR="004B08CF" w:rsidRDefault="004B08CF" w:rsidP="00057BAF">
      <w:pPr>
        <w:bidi w:val="0"/>
        <w:rPr>
          <w:sz w:val="32"/>
          <w:szCs w:val="32"/>
        </w:rPr>
      </w:pPr>
    </w:p>
    <w:sectPr w:rsidR="004B08CF" w:rsidSect="00DE6E63">
      <w:pgSz w:w="9639" w:h="13608"/>
      <w:pgMar w:top="1134" w:right="1134" w:bottom="1134" w:left="1134" w:header="709" w:footer="146" w:gutter="340"/>
      <w:pgBorders w:offsetFrom="page">
        <w:top w:val="single" w:sz="4" w:space="24" w:color="auto"/>
        <w:left w:val="single" w:sz="4" w:space="24" w:color="auto"/>
        <w:bottom w:val="single" w:sz="4" w:space="24" w:color="auto"/>
        <w:right w:val="single" w:sz="4" w:space="24" w:color="auto"/>
      </w:pgBorders>
      <w:cols w:space="708"/>
      <w:vAlign w:val="center"/>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350AD6" w14:textId="77777777" w:rsidR="005000D7" w:rsidRDefault="005000D7" w:rsidP="00E56CDC">
      <w:pPr>
        <w:spacing w:after="0" w:line="240" w:lineRule="auto"/>
      </w:pPr>
      <w:r>
        <w:separator/>
      </w:r>
    </w:p>
  </w:endnote>
  <w:endnote w:type="continuationSeparator" w:id="0">
    <w:p w14:paraId="3EB1949A" w14:textId="77777777" w:rsidR="005000D7" w:rsidRDefault="005000D7" w:rsidP="00E56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embedRegular r:id="rId1" w:fontKey="{259748E8-6BE5-486A-8ED1-C6CA5CD527EA}"/>
    <w:embedBold r:id="rId2" w:fontKey="{9D5CE9BE-8664-4137-9914-419261A7A1DA}"/>
    <w:embedItalic r:id="rId3" w:fontKey="{BA1446D9-E630-49F8-AE58-00F5E6616AA7}"/>
  </w:font>
  <w:font w:name="Titillium Web">
    <w:panose1 w:val="00000500000000000000"/>
    <w:charset w:val="00"/>
    <w:family w:val="auto"/>
    <w:pitch w:val="variable"/>
    <w:sig w:usb0="00000007" w:usb1="00000001" w:usb2="00000000" w:usb3="00000000" w:csb0="00000093" w:csb1="00000000"/>
    <w:embedRegular r:id="rId4" w:fontKey="{4865896D-2E17-4958-B6C1-2587EA26003A}"/>
    <w:embedBold r:id="rId5" w:fontKey="{BFA9DD60-50D7-4231-90D0-0EC5970875E7}"/>
    <w:embedItalic r:id="rId6" w:fontKey="{350B1600-DD98-46C2-B951-4D5FF5D34ABD}"/>
  </w:font>
  <w:font w:name="Arabic UI Display Heavy">
    <w:panose1 w:val="00000900000000000000"/>
    <w:charset w:val="00"/>
    <w:family w:val="auto"/>
    <w:pitch w:val="variable"/>
    <w:sig w:usb0="80002003" w:usb1="80002000" w:usb2="00000008" w:usb3="00000000" w:csb0="00000041" w:csb1="00000000"/>
    <w:embedRegular r:id="rId7" w:fontKey="{D540D8AE-D729-467A-B29D-D229661708D4}"/>
    <w:embedBold r:id="rId8" w:fontKey="{EE9C91BA-DFF8-4CE1-B8AD-51F08A839BCC}"/>
  </w:font>
  <w:font w:name="Tahoma">
    <w:panose1 w:val="020B0604030504040204"/>
    <w:charset w:val="00"/>
    <w:family w:val="swiss"/>
    <w:pitch w:val="variable"/>
    <w:sig w:usb0="E1002EFF" w:usb1="C000605B" w:usb2="00000029" w:usb3="00000000" w:csb0="000101FF" w:csb1="00000000"/>
    <w:embedRegular r:id="rId9" w:fontKey="{5519A8AA-43AD-431E-BC24-AF584B4E9EE1}"/>
  </w:font>
  <w:font w:name="Cambria">
    <w:panose1 w:val="02040503050406030204"/>
    <w:charset w:val="00"/>
    <w:family w:val="roman"/>
    <w:pitch w:val="variable"/>
    <w:sig w:usb0="E00006FF" w:usb1="420024FF" w:usb2="02000000" w:usb3="00000000" w:csb0="0000019F" w:csb1="00000000"/>
    <w:embedRegular r:id="rId10" w:fontKey="{093E0F1F-9463-47A8-B08B-D951AF925A89}"/>
    <w:embedBold r:id="rId11" w:fontKey="{5DBA4F24-7289-40AA-B563-3E336C293B05}"/>
  </w:font>
  <w:font w:name="Calibri">
    <w:panose1 w:val="020F0502020204030204"/>
    <w:charset w:val="00"/>
    <w:family w:val="swiss"/>
    <w:pitch w:val="variable"/>
    <w:sig w:usb0="E4002EFF" w:usb1="C000247B" w:usb2="00000009" w:usb3="00000000" w:csb0="000001FF" w:csb1="00000000"/>
    <w:embedBold r:id="rId12" w:fontKey="{A7180AF2-86B7-4C90-9E8B-DDEFA507A7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571698831"/>
      <w:docPartObj>
        <w:docPartGallery w:val="Page Numbers (Bottom of Page)"/>
        <w:docPartUnique/>
      </w:docPartObj>
    </w:sdtPr>
    <w:sdtEndPr/>
    <w:sdtContent>
      <w:p w14:paraId="5DCBA529" w14:textId="77777777" w:rsidR="00383715" w:rsidRDefault="00383715">
        <w:pPr>
          <w:pStyle w:val="a5"/>
          <w:jc w:val="center"/>
        </w:pPr>
        <w:r>
          <w:fldChar w:fldCharType="begin"/>
        </w:r>
        <w:r>
          <w:instrText>PAGE   \* MERGEFORMAT</w:instrText>
        </w:r>
        <w:r>
          <w:fldChar w:fldCharType="separate"/>
        </w:r>
        <w:r>
          <w:rPr>
            <w:rtl/>
            <w:lang w:val="ar-SA"/>
          </w:rPr>
          <w:t>2</w:t>
        </w:r>
        <w:r>
          <w:fldChar w:fldCharType="end"/>
        </w:r>
      </w:p>
    </w:sdtContent>
  </w:sdt>
  <w:p w14:paraId="688C0336" w14:textId="77777777" w:rsidR="00383715" w:rsidRDefault="0038371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609958" w14:textId="77777777" w:rsidR="005000D7" w:rsidRDefault="005000D7" w:rsidP="00E56CDC">
      <w:pPr>
        <w:spacing w:after="0" w:line="240" w:lineRule="auto"/>
      </w:pPr>
      <w:r>
        <w:separator/>
      </w:r>
    </w:p>
  </w:footnote>
  <w:footnote w:type="continuationSeparator" w:id="0">
    <w:p w14:paraId="193717BB" w14:textId="77777777" w:rsidR="005000D7" w:rsidRDefault="005000D7" w:rsidP="00E56C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30014"/>
    <w:multiLevelType w:val="hybridMultilevel"/>
    <w:tmpl w:val="4BBCCF1E"/>
    <w:lvl w:ilvl="0" w:tplc="73D067E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A76D7"/>
    <w:multiLevelType w:val="multilevel"/>
    <w:tmpl w:val="A24E2954"/>
    <w:lvl w:ilvl="0">
      <w:start w:val="1"/>
      <w:numFmt w:val="bullet"/>
      <w:lvlText w:val=""/>
      <w:lvlJc w:val="left"/>
      <w:pPr>
        <w:tabs>
          <w:tab w:val="num" w:pos="720"/>
        </w:tabs>
        <w:ind w:left="720" w:hanging="360"/>
      </w:pPr>
      <w:rPr>
        <w:rFonts w:ascii="Wingdings" w:hAnsi="Wingdings" w:hint="default"/>
        <w:b/>
        <w:bCs/>
        <w:color w:val="5B9BD5" w:themeColor="accent5"/>
        <w:sz w:val="28"/>
        <w:szCs w:val="4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D66395"/>
    <w:multiLevelType w:val="multilevel"/>
    <w:tmpl w:val="41945FDC"/>
    <w:lvl w:ilvl="0">
      <w:start w:val="1"/>
      <w:numFmt w:val="bullet"/>
      <w:lvlText w:val=""/>
      <w:lvlJc w:val="left"/>
      <w:pPr>
        <w:tabs>
          <w:tab w:val="num" w:pos="720"/>
        </w:tabs>
        <w:ind w:left="720" w:hanging="360"/>
      </w:pPr>
      <w:rPr>
        <w:rFonts w:ascii="Wingdings" w:hAnsi="Wingdings" w:hint="default"/>
        <w:b/>
        <w:bCs/>
        <w:color w:val="5B9BD5" w:themeColor="accent5"/>
        <w:sz w:val="28"/>
        <w:szCs w:val="4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0B0D80"/>
    <w:multiLevelType w:val="hybridMultilevel"/>
    <w:tmpl w:val="51E67F3E"/>
    <w:lvl w:ilvl="0" w:tplc="73D067E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C7ABF"/>
    <w:multiLevelType w:val="hybridMultilevel"/>
    <w:tmpl w:val="9A986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43423C"/>
    <w:multiLevelType w:val="hybridMultilevel"/>
    <w:tmpl w:val="23FE2A9A"/>
    <w:lvl w:ilvl="0" w:tplc="C932022C">
      <w:start w:val="1"/>
      <w:numFmt w:val="decimal"/>
      <w:lvlText w:val="%1."/>
      <w:lvlJc w:val="left"/>
      <w:pPr>
        <w:ind w:left="720" w:hanging="360"/>
      </w:pPr>
      <w:rPr>
        <w:b/>
        <w:bCs/>
        <w:color w:val="5B9BD5" w:themeColor="accent5"/>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94F00CC"/>
    <w:multiLevelType w:val="hybridMultilevel"/>
    <w:tmpl w:val="75DCDF54"/>
    <w:lvl w:ilvl="0" w:tplc="73D067E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566D5D"/>
    <w:multiLevelType w:val="hybridMultilevel"/>
    <w:tmpl w:val="36C0AEA8"/>
    <w:lvl w:ilvl="0" w:tplc="DB24B472">
      <w:start w:val="1"/>
      <w:numFmt w:val="bullet"/>
      <w:lvlText w:val="־"/>
      <w:lvlJc w:val="left"/>
      <w:pPr>
        <w:ind w:left="1440" w:hanging="360"/>
      </w:pPr>
      <w:rPr>
        <w:rFonts w:ascii="Arial" w:hAnsi="Arial" w:cstheme="minorBidi" w:hint="default"/>
        <w:b/>
        <w:bCs/>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4803162"/>
    <w:multiLevelType w:val="multilevel"/>
    <w:tmpl w:val="534027E2"/>
    <w:lvl w:ilvl="0">
      <w:start w:val="1"/>
      <w:numFmt w:val="bullet"/>
      <w:lvlText w:val=""/>
      <w:lvlJc w:val="left"/>
      <w:pPr>
        <w:tabs>
          <w:tab w:val="num" w:pos="720"/>
        </w:tabs>
        <w:ind w:left="720" w:hanging="360"/>
      </w:pPr>
      <w:rPr>
        <w:rFonts w:ascii="Symbol" w:hAnsi="Symbol" w:hint="default"/>
        <w:sz w:val="20"/>
        <w:lang w:bidi="ar"/>
      </w:rPr>
    </w:lvl>
    <w:lvl w:ilvl="1">
      <w:start w:val="1"/>
      <w:numFmt w:val="bullet"/>
      <w:lvlText w:val=""/>
      <w:lvlJc w:val="left"/>
      <w:pPr>
        <w:tabs>
          <w:tab w:val="num" w:pos="1440"/>
        </w:tabs>
        <w:ind w:left="1440" w:hanging="360"/>
      </w:pPr>
      <w:rPr>
        <w:rFonts w:ascii="Symbol" w:hAnsi="Symbol" w:hint="default"/>
        <w:color w:val="5B9BD5" w:themeColor="accent5"/>
        <w:sz w:val="28"/>
        <w:szCs w:val="4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021385"/>
    <w:multiLevelType w:val="hybridMultilevel"/>
    <w:tmpl w:val="37AACAEC"/>
    <w:lvl w:ilvl="0" w:tplc="41086106">
      <w:start w:val="1"/>
      <w:numFmt w:val="bullet"/>
      <w:lvlText w:val="־"/>
      <w:lvlJc w:val="left"/>
      <w:pPr>
        <w:ind w:left="720" w:hanging="360"/>
      </w:pPr>
      <w:rPr>
        <w:rFonts w:ascii="Arial" w:hAnsi="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301F66"/>
    <w:multiLevelType w:val="hybridMultilevel"/>
    <w:tmpl w:val="3F9A58CE"/>
    <w:lvl w:ilvl="0" w:tplc="73D067E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
  </w:num>
  <w:num w:numId="4">
    <w:abstractNumId w:val="4"/>
  </w:num>
  <w:num w:numId="5">
    <w:abstractNumId w:val="2"/>
  </w:num>
  <w:num w:numId="6">
    <w:abstractNumId w:val="7"/>
  </w:num>
  <w:num w:numId="7">
    <w:abstractNumId w:val="9"/>
  </w:num>
  <w:num w:numId="8">
    <w:abstractNumId w:val="0"/>
  </w:num>
  <w:num w:numId="9">
    <w:abstractNumId w:val="3"/>
  </w:num>
  <w:num w:numId="10">
    <w:abstractNumId w:val="5"/>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gutterAtTop/>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587"/>
    <w:rsid w:val="00014B70"/>
    <w:rsid w:val="00020E05"/>
    <w:rsid w:val="000305E6"/>
    <w:rsid w:val="0004098E"/>
    <w:rsid w:val="00040F7C"/>
    <w:rsid w:val="0004251A"/>
    <w:rsid w:val="00052803"/>
    <w:rsid w:val="00057BAF"/>
    <w:rsid w:val="00066EFB"/>
    <w:rsid w:val="000778F1"/>
    <w:rsid w:val="00084C97"/>
    <w:rsid w:val="00093CDD"/>
    <w:rsid w:val="000A2FDB"/>
    <w:rsid w:val="000C5468"/>
    <w:rsid w:val="000D0A78"/>
    <w:rsid w:val="000D5710"/>
    <w:rsid w:val="000E1C77"/>
    <w:rsid w:val="000E781C"/>
    <w:rsid w:val="000F4881"/>
    <w:rsid w:val="0010425C"/>
    <w:rsid w:val="00105E3C"/>
    <w:rsid w:val="00117F01"/>
    <w:rsid w:val="00140394"/>
    <w:rsid w:val="001420A1"/>
    <w:rsid w:val="00143E78"/>
    <w:rsid w:val="00144B57"/>
    <w:rsid w:val="00154546"/>
    <w:rsid w:val="00156788"/>
    <w:rsid w:val="00157252"/>
    <w:rsid w:val="00160458"/>
    <w:rsid w:val="00177E92"/>
    <w:rsid w:val="001845A3"/>
    <w:rsid w:val="00186861"/>
    <w:rsid w:val="001A5A39"/>
    <w:rsid w:val="001B3849"/>
    <w:rsid w:val="001C6DBC"/>
    <w:rsid w:val="001C7F6D"/>
    <w:rsid w:val="001E16E5"/>
    <w:rsid w:val="001E173C"/>
    <w:rsid w:val="001F1E4C"/>
    <w:rsid w:val="002004E6"/>
    <w:rsid w:val="00204939"/>
    <w:rsid w:val="00205104"/>
    <w:rsid w:val="00226C21"/>
    <w:rsid w:val="00235503"/>
    <w:rsid w:val="00245131"/>
    <w:rsid w:val="002478D2"/>
    <w:rsid w:val="00254363"/>
    <w:rsid w:val="00261582"/>
    <w:rsid w:val="00261807"/>
    <w:rsid w:val="00262369"/>
    <w:rsid w:val="0026559C"/>
    <w:rsid w:val="00285AA7"/>
    <w:rsid w:val="002B1A11"/>
    <w:rsid w:val="002C1B32"/>
    <w:rsid w:val="002F5E90"/>
    <w:rsid w:val="003074E9"/>
    <w:rsid w:val="00310F92"/>
    <w:rsid w:val="00322876"/>
    <w:rsid w:val="00356F46"/>
    <w:rsid w:val="00357A4C"/>
    <w:rsid w:val="0036491A"/>
    <w:rsid w:val="00383715"/>
    <w:rsid w:val="00383B55"/>
    <w:rsid w:val="0039290C"/>
    <w:rsid w:val="003A1EE4"/>
    <w:rsid w:val="003C2DE8"/>
    <w:rsid w:val="003D3FF3"/>
    <w:rsid w:val="003D4C18"/>
    <w:rsid w:val="003D6F99"/>
    <w:rsid w:val="003E20E4"/>
    <w:rsid w:val="003E6D26"/>
    <w:rsid w:val="003F065E"/>
    <w:rsid w:val="003F3A9F"/>
    <w:rsid w:val="0041390C"/>
    <w:rsid w:val="00422168"/>
    <w:rsid w:val="00431CDB"/>
    <w:rsid w:val="004572A5"/>
    <w:rsid w:val="00475C06"/>
    <w:rsid w:val="004855F1"/>
    <w:rsid w:val="004A0B2A"/>
    <w:rsid w:val="004B08CF"/>
    <w:rsid w:val="004B6CF9"/>
    <w:rsid w:val="004D0A0C"/>
    <w:rsid w:val="004D5F76"/>
    <w:rsid w:val="004D61C9"/>
    <w:rsid w:val="004E3891"/>
    <w:rsid w:val="004F1D4A"/>
    <w:rsid w:val="004F2CBF"/>
    <w:rsid w:val="004F56DE"/>
    <w:rsid w:val="004F6316"/>
    <w:rsid w:val="005000D7"/>
    <w:rsid w:val="005020FE"/>
    <w:rsid w:val="0051041A"/>
    <w:rsid w:val="0051353E"/>
    <w:rsid w:val="00540DD9"/>
    <w:rsid w:val="00543697"/>
    <w:rsid w:val="005677C6"/>
    <w:rsid w:val="00583DAC"/>
    <w:rsid w:val="005A69DF"/>
    <w:rsid w:val="005B076F"/>
    <w:rsid w:val="005B176C"/>
    <w:rsid w:val="005D6CA9"/>
    <w:rsid w:val="005E491B"/>
    <w:rsid w:val="005F6B91"/>
    <w:rsid w:val="00601FE6"/>
    <w:rsid w:val="00605138"/>
    <w:rsid w:val="00611BCF"/>
    <w:rsid w:val="006247CE"/>
    <w:rsid w:val="00627BB1"/>
    <w:rsid w:val="00641B00"/>
    <w:rsid w:val="0064585B"/>
    <w:rsid w:val="006551C0"/>
    <w:rsid w:val="00661ABC"/>
    <w:rsid w:val="00664A53"/>
    <w:rsid w:val="00671098"/>
    <w:rsid w:val="006718E9"/>
    <w:rsid w:val="00683BBB"/>
    <w:rsid w:val="00687119"/>
    <w:rsid w:val="00690F6C"/>
    <w:rsid w:val="006A0B4E"/>
    <w:rsid w:val="006B244C"/>
    <w:rsid w:val="006D0757"/>
    <w:rsid w:val="006E462F"/>
    <w:rsid w:val="00711D9C"/>
    <w:rsid w:val="00715178"/>
    <w:rsid w:val="0071775E"/>
    <w:rsid w:val="007301BD"/>
    <w:rsid w:val="00732F70"/>
    <w:rsid w:val="00737DB6"/>
    <w:rsid w:val="00745A94"/>
    <w:rsid w:val="007575BB"/>
    <w:rsid w:val="00763F95"/>
    <w:rsid w:val="0077383F"/>
    <w:rsid w:val="007860A6"/>
    <w:rsid w:val="00792AF3"/>
    <w:rsid w:val="0079649E"/>
    <w:rsid w:val="007A7BA2"/>
    <w:rsid w:val="007F3A6D"/>
    <w:rsid w:val="007F482D"/>
    <w:rsid w:val="00801FB7"/>
    <w:rsid w:val="0081025C"/>
    <w:rsid w:val="00832E94"/>
    <w:rsid w:val="0083494A"/>
    <w:rsid w:val="00853099"/>
    <w:rsid w:val="008719D3"/>
    <w:rsid w:val="008B34BC"/>
    <w:rsid w:val="008B7674"/>
    <w:rsid w:val="008C28F6"/>
    <w:rsid w:val="008D39E9"/>
    <w:rsid w:val="008E5B00"/>
    <w:rsid w:val="00907198"/>
    <w:rsid w:val="0091789B"/>
    <w:rsid w:val="0093540C"/>
    <w:rsid w:val="00946CF0"/>
    <w:rsid w:val="00952509"/>
    <w:rsid w:val="00980F07"/>
    <w:rsid w:val="009A2BF8"/>
    <w:rsid w:val="009A51C7"/>
    <w:rsid w:val="009A612C"/>
    <w:rsid w:val="009E6CD2"/>
    <w:rsid w:val="009E7CA8"/>
    <w:rsid w:val="009F0923"/>
    <w:rsid w:val="009F1B0B"/>
    <w:rsid w:val="009F492C"/>
    <w:rsid w:val="00A004C5"/>
    <w:rsid w:val="00A0362F"/>
    <w:rsid w:val="00A0507F"/>
    <w:rsid w:val="00A05260"/>
    <w:rsid w:val="00A10192"/>
    <w:rsid w:val="00A1599E"/>
    <w:rsid w:val="00A25AB2"/>
    <w:rsid w:val="00A52436"/>
    <w:rsid w:val="00A54F87"/>
    <w:rsid w:val="00A56AE5"/>
    <w:rsid w:val="00A57EA4"/>
    <w:rsid w:val="00A62FBD"/>
    <w:rsid w:val="00A66B7F"/>
    <w:rsid w:val="00A94587"/>
    <w:rsid w:val="00A9760A"/>
    <w:rsid w:val="00AB15F8"/>
    <w:rsid w:val="00AE18EC"/>
    <w:rsid w:val="00AF4A8B"/>
    <w:rsid w:val="00AF7C88"/>
    <w:rsid w:val="00B06EDA"/>
    <w:rsid w:val="00B100E0"/>
    <w:rsid w:val="00B27005"/>
    <w:rsid w:val="00B324BB"/>
    <w:rsid w:val="00B37D13"/>
    <w:rsid w:val="00B46C2D"/>
    <w:rsid w:val="00B56F21"/>
    <w:rsid w:val="00B76243"/>
    <w:rsid w:val="00B91801"/>
    <w:rsid w:val="00BA4830"/>
    <w:rsid w:val="00BA540F"/>
    <w:rsid w:val="00BB4DE3"/>
    <w:rsid w:val="00BB5560"/>
    <w:rsid w:val="00BC5F55"/>
    <w:rsid w:val="00BC6A98"/>
    <w:rsid w:val="00C06443"/>
    <w:rsid w:val="00C15B38"/>
    <w:rsid w:val="00C20084"/>
    <w:rsid w:val="00C2013A"/>
    <w:rsid w:val="00C439BB"/>
    <w:rsid w:val="00C64E4E"/>
    <w:rsid w:val="00C675A3"/>
    <w:rsid w:val="00C80A7C"/>
    <w:rsid w:val="00C8399B"/>
    <w:rsid w:val="00CB1788"/>
    <w:rsid w:val="00CB6067"/>
    <w:rsid w:val="00CC6E24"/>
    <w:rsid w:val="00CF3587"/>
    <w:rsid w:val="00CF3A0D"/>
    <w:rsid w:val="00D11F03"/>
    <w:rsid w:val="00D13445"/>
    <w:rsid w:val="00D22A6F"/>
    <w:rsid w:val="00D30E3F"/>
    <w:rsid w:val="00D41FB7"/>
    <w:rsid w:val="00D4784A"/>
    <w:rsid w:val="00D55B2F"/>
    <w:rsid w:val="00D8051B"/>
    <w:rsid w:val="00DA5E90"/>
    <w:rsid w:val="00DA7CC6"/>
    <w:rsid w:val="00DB34CB"/>
    <w:rsid w:val="00DE5E01"/>
    <w:rsid w:val="00DE6E63"/>
    <w:rsid w:val="00E27A40"/>
    <w:rsid w:val="00E27EC9"/>
    <w:rsid w:val="00E32A27"/>
    <w:rsid w:val="00E4180D"/>
    <w:rsid w:val="00E5328D"/>
    <w:rsid w:val="00E56005"/>
    <w:rsid w:val="00E56CDC"/>
    <w:rsid w:val="00E62BB7"/>
    <w:rsid w:val="00E66DCE"/>
    <w:rsid w:val="00E76377"/>
    <w:rsid w:val="00E82E9E"/>
    <w:rsid w:val="00E9494B"/>
    <w:rsid w:val="00EB3C1A"/>
    <w:rsid w:val="00ED6C03"/>
    <w:rsid w:val="00EF0CAB"/>
    <w:rsid w:val="00F1150D"/>
    <w:rsid w:val="00F14EA9"/>
    <w:rsid w:val="00F21013"/>
    <w:rsid w:val="00F27B3D"/>
    <w:rsid w:val="00F44C94"/>
    <w:rsid w:val="00F45D0F"/>
    <w:rsid w:val="00F570FB"/>
    <w:rsid w:val="00F65F36"/>
    <w:rsid w:val="00F66D67"/>
    <w:rsid w:val="00F70F82"/>
    <w:rsid w:val="00F75F21"/>
    <w:rsid w:val="00F80ED9"/>
    <w:rsid w:val="00F85BCD"/>
    <w:rsid w:val="00FA3F1E"/>
    <w:rsid w:val="00FC18AE"/>
    <w:rsid w:val="00FD00F0"/>
    <w:rsid w:val="00FF4E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E2671E"/>
  <w15:chartTrackingRefBased/>
  <w15:docId w15:val="{7F26E85E-AE22-4D65-B79D-9E65B0E78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Char"/>
    <w:uiPriority w:val="9"/>
    <w:qFormat/>
    <w:rsid w:val="00E62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7575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55B2F"/>
    <w:pPr>
      <w:spacing w:after="0" w:line="240" w:lineRule="auto"/>
    </w:pPr>
    <w:rPr>
      <w:rFonts w:ascii="Tahoma" w:hAnsi="Tahoma" w:cs="Tahoma"/>
      <w:sz w:val="18"/>
      <w:szCs w:val="18"/>
    </w:rPr>
  </w:style>
  <w:style w:type="character" w:customStyle="1" w:styleId="Char">
    <w:name w:val="نص في بالون Char"/>
    <w:basedOn w:val="a0"/>
    <w:link w:val="a3"/>
    <w:uiPriority w:val="99"/>
    <w:semiHidden/>
    <w:rsid w:val="00D55B2F"/>
    <w:rPr>
      <w:rFonts w:ascii="Tahoma" w:hAnsi="Tahoma" w:cs="Tahoma"/>
      <w:sz w:val="18"/>
      <w:szCs w:val="18"/>
    </w:rPr>
  </w:style>
  <w:style w:type="paragraph" w:styleId="a4">
    <w:name w:val="header"/>
    <w:basedOn w:val="a"/>
    <w:link w:val="Char0"/>
    <w:uiPriority w:val="99"/>
    <w:unhideWhenUsed/>
    <w:rsid w:val="00E56CDC"/>
    <w:pPr>
      <w:tabs>
        <w:tab w:val="center" w:pos="4153"/>
        <w:tab w:val="right" w:pos="8306"/>
      </w:tabs>
      <w:spacing w:after="0" w:line="240" w:lineRule="auto"/>
    </w:pPr>
  </w:style>
  <w:style w:type="character" w:customStyle="1" w:styleId="Char0">
    <w:name w:val="رأس الصفحة Char"/>
    <w:basedOn w:val="a0"/>
    <w:link w:val="a4"/>
    <w:uiPriority w:val="99"/>
    <w:rsid w:val="00E56CDC"/>
  </w:style>
  <w:style w:type="paragraph" w:styleId="a5">
    <w:name w:val="footer"/>
    <w:basedOn w:val="a"/>
    <w:link w:val="Char1"/>
    <w:uiPriority w:val="99"/>
    <w:unhideWhenUsed/>
    <w:rsid w:val="00E56CDC"/>
    <w:pPr>
      <w:tabs>
        <w:tab w:val="center" w:pos="4153"/>
        <w:tab w:val="right" w:pos="8306"/>
      </w:tabs>
      <w:spacing w:after="0" w:line="240" w:lineRule="auto"/>
    </w:pPr>
  </w:style>
  <w:style w:type="character" w:customStyle="1" w:styleId="Char1">
    <w:name w:val="تذييل الصفحة Char"/>
    <w:basedOn w:val="a0"/>
    <w:link w:val="a5"/>
    <w:uiPriority w:val="99"/>
    <w:rsid w:val="00E56CDC"/>
  </w:style>
  <w:style w:type="table" w:customStyle="1" w:styleId="10">
    <w:name w:val="شبكة جدول1"/>
    <w:basedOn w:val="a1"/>
    <w:next w:val="a6"/>
    <w:uiPriority w:val="39"/>
    <w:rsid w:val="00DE6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DE6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iPriority w:val="35"/>
    <w:unhideWhenUsed/>
    <w:qFormat/>
    <w:rsid w:val="005F6B91"/>
    <w:pPr>
      <w:spacing w:after="200" w:line="240" w:lineRule="auto"/>
    </w:pPr>
    <w:rPr>
      <w:i/>
      <w:iCs/>
      <w:color w:val="44546A" w:themeColor="text2"/>
      <w:sz w:val="18"/>
      <w:szCs w:val="18"/>
    </w:rPr>
  </w:style>
  <w:style w:type="paragraph" w:styleId="a8">
    <w:name w:val="List Paragraph"/>
    <w:basedOn w:val="a"/>
    <w:uiPriority w:val="34"/>
    <w:qFormat/>
    <w:rsid w:val="00745A94"/>
    <w:pPr>
      <w:ind w:left="720"/>
      <w:contextualSpacing/>
    </w:pPr>
  </w:style>
  <w:style w:type="character" w:customStyle="1" w:styleId="1Char">
    <w:name w:val="العنوان 1 Char"/>
    <w:basedOn w:val="a0"/>
    <w:link w:val="1"/>
    <w:uiPriority w:val="9"/>
    <w:rsid w:val="00E62BB7"/>
    <w:rPr>
      <w:rFonts w:asciiTheme="majorHAnsi" w:eastAsiaTheme="majorEastAsia" w:hAnsiTheme="majorHAnsi" w:cstheme="majorBidi"/>
      <w:color w:val="2F5496" w:themeColor="accent1" w:themeShade="BF"/>
      <w:sz w:val="32"/>
      <w:szCs w:val="32"/>
    </w:rPr>
  </w:style>
  <w:style w:type="character" w:styleId="Hyperlink">
    <w:name w:val="Hyperlink"/>
    <w:basedOn w:val="a0"/>
    <w:uiPriority w:val="99"/>
    <w:unhideWhenUsed/>
    <w:rsid w:val="00E9494B"/>
    <w:rPr>
      <w:color w:val="0563C1" w:themeColor="hyperlink"/>
      <w:u w:val="single"/>
    </w:rPr>
  </w:style>
  <w:style w:type="character" w:styleId="a9">
    <w:name w:val="Unresolved Mention"/>
    <w:basedOn w:val="a0"/>
    <w:uiPriority w:val="99"/>
    <w:semiHidden/>
    <w:unhideWhenUsed/>
    <w:rsid w:val="00E9494B"/>
    <w:rPr>
      <w:color w:val="605E5C"/>
      <w:shd w:val="clear" w:color="auto" w:fill="E1DFDD"/>
    </w:rPr>
  </w:style>
  <w:style w:type="character" w:customStyle="1" w:styleId="3Char">
    <w:name w:val="عنوان 3 Char"/>
    <w:basedOn w:val="a0"/>
    <w:link w:val="3"/>
    <w:uiPriority w:val="9"/>
    <w:semiHidden/>
    <w:rsid w:val="007575B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679190">
      <w:bodyDiv w:val="1"/>
      <w:marLeft w:val="0"/>
      <w:marRight w:val="0"/>
      <w:marTop w:val="0"/>
      <w:marBottom w:val="0"/>
      <w:divBdr>
        <w:top w:val="none" w:sz="0" w:space="0" w:color="auto"/>
        <w:left w:val="none" w:sz="0" w:space="0" w:color="auto"/>
        <w:bottom w:val="none" w:sz="0" w:space="0" w:color="auto"/>
        <w:right w:val="none" w:sz="0" w:space="0" w:color="auto"/>
      </w:divBdr>
    </w:div>
    <w:div w:id="102521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72EC~1\AppData\Local\Temp\Rar$DIa0.486\&#1602;&#1575;&#1604;&#1576;%20&#1576;&#1585;&#1606;&#1575;&#1605;&#1580;%20&#1575;&#1604;&#1581;&#1602;&#1575;&#1574;&#1576;%20&#1575;&#1604;&#1578;&#1583;&#1585;&#1610;&#1576;&#1610;&#1577;.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duTec4All-PTP-W">
      <a:majorFont>
        <a:latin typeface="Titillium Web"/>
        <a:ea typeface=""/>
        <a:cs typeface="Arabic UI Display Heavy"/>
      </a:majorFont>
      <a:minorFont>
        <a:latin typeface="Titillium Web"/>
        <a:ea typeface=""/>
        <a:cs typeface="KFGQPC Uthman Taha Naskh"/>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قالب برنامج الحقائب التدريبية</Template>
  <TotalTime>48</TotalTime>
  <Pages>16</Pages>
  <Words>2667</Words>
  <Characters>15204</Characters>
  <Application>Microsoft Office Word</Application>
  <DocSecurity>0</DocSecurity>
  <Lines>126</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نوارة</dc:creator>
  <cp:keywords/>
  <dc:description/>
  <cp:lastModifiedBy>Nora Ahmadi</cp:lastModifiedBy>
  <cp:revision>11</cp:revision>
  <cp:lastPrinted>2020-08-22T00:29:00Z</cp:lastPrinted>
  <dcterms:created xsi:type="dcterms:W3CDTF">2020-11-08T06:49:00Z</dcterms:created>
  <dcterms:modified xsi:type="dcterms:W3CDTF">2020-11-12T23:38:00Z</dcterms:modified>
</cp:coreProperties>
</file>